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"/>
        <w:gridCol w:w="655"/>
        <w:gridCol w:w="655"/>
        <w:gridCol w:w="655"/>
        <w:gridCol w:w="655"/>
      </w:tblGrid>
      <w:tr w:rsidR="00D2178C" w:rsidTr="00BF1A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BF1A20" w:rsidRDefault="00D2178C" w:rsidP="00BF1A2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F238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 № </w:t>
            </w:r>
            <w:r w:rsidR="00BF1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</w:tr>
      <w:tr w:rsidR="00F96565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Pr="005C2B4C" w:rsidRDefault="00D2178C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5C2B4C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Учетная политика для целей бухгалтерского учета</w:t>
      </w:r>
      <w:r w:rsidRPr="005C2B4C">
        <w:rPr>
          <w:sz w:val="48"/>
          <w:szCs w:val="48"/>
          <w:lang w:val="ru-RU"/>
        </w:rPr>
        <w:br/>
      </w:r>
      <w:r w:rsidRPr="005C2B4C">
        <w:rPr>
          <w:rFonts w:hAnsi="Times New Roman" w:cs="Times New Roman"/>
          <w:b/>
          <w:bCs/>
          <w:color w:val="000000"/>
          <w:sz w:val="48"/>
          <w:szCs w:val="48"/>
        </w:rPr>
        <w:t> 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ЛОГБУ «</w:t>
      </w:r>
      <w:r w:rsidR="00BF1A20">
        <w:rPr>
          <w:rFonts w:hAnsi="Times New Roman" w:cs="Times New Roman"/>
          <w:color w:val="000000"/>
          <w:sz w:val="24"/>
          <w:szCs w:val="24"/>
          <w:lang w:val="ru-RU"/>
        </w:rPr>
        <w:t xml:space="preserve">Сланцевский </w:t>
      </w:r>
      <w:proofErr w:type="spellStart"/>
      <w:r w:rsidR="00BF1A20">
        <w:rPr>
          <w:rFonts w:hAnsi="Times New Roman" w:cs="Times New Roman"/>
          <w:color w:val="000000"/>
          <w:sz w:val="24"/>
          <w:szCs w:val="24"/>
          <w:lang w:val="ru-RU"/>
        </w:rPr>
        <w:t>ДИВВиТ</w:t>
      </w:r>
      <w:proofErr w:type="spellEnd"/>
      <w:r w:rsidR="00BF1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для органов государственной власти (государственных органов),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плану счетов № 157н);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174н «Об утверждении Плана счетов бухгалтерского учета бюджетных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F96565" w:rsidRPr="00D2178C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F96565" w:rsidRPr="00D2178C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F96565" w:rsidRPr="00D2178C" w:rsidRDefault="00D217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приказом Минфина от 06.12.2010 №162н «Об утверждении плана счетов 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255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F96565" w:rsidRPr="00BF1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BF1A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ЛОГБУ «Сланцевский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ДИВВиТ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F96565" w:rsidRPr="00AE68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F96565" w:rsidRPr="00AE68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F96565" w:rsidRPr="00AE68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Общие положения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бухгалтером. Сотрудники бухгалтерии руководствуются в </w:t>
      </w:r>
      <w:r w:rsidR="00F5644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аботе должностными инструкциями.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 бухгалтер.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964F50" w:rsidRDefault="00BF1A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4F50">
        <w:rPr>
          <w:rFonts w:hAnsi="Times New Roman" w:cs="Times New Roman"/>
          <w:sz w:val="24"/>
          <w:szCs w:val="24"/>
          <w:lang w:val="ru-RU"/>
        </w:rPr>
        <w:t>2</w:t>
      </w:r>
      <w:r w:rsidR="00D2178C" w:rsidRPr="00964F50">
        <w:rPr>
          <w:rFonts w:hAnsi="Times New Roman" w:cs="Times New Roman"/>
          <w:sz w:val="24"/>
          <w:szCs w:val="24"/>
          <w:lang w:val="ru-RU"/>
        </w:rPr>
        <w:t>. В учреждении действуют постоянные комиссии:</w:t>
      </w:r>
      <w:r w:rsidR="00D2178C" w:rsidRPr="00964F50">
        <w:rPr>
          <w:lang w:val="ru-RU"/>
        </w:rPr>
        <w:br/>
      </w:r>
      <w:r w:rsidR="00D2178C" w:rsidRPr="00964F50">
        <w:rPr>
          <w:rFonts w:hAnsi="Times New Roman" w:cs="Times New Roman"/>
          <w:sz w:val="24"/>
          <w:szCs w:val="24"/>
          <w:lang w:val="ru-RU"/>
        </w:rPr>
        <w:t xml:space="preserve">– </w:t>
      </w:r>
      <w:r w:rsidR="00D2178C" w:rsidRPr="008C4A39">
        <w:rPr>
          <w:rFonts w:hAnsi="Times New Roman" w:cs="Times New Roman"/>
          <w:sz w:val="24"/>
          <w:szCs w:val="24"/>
          <w:lang w:val="ru-RU"/>
        </w:rPr>
        <w:t>комиссия по поступлению и выбытию активов (приложение 1</w:t>
      </w:r>
      <w:r w:rsidR="00D93DC8" w:rsidRPr="008C4A39">
        <w:rPr>
          <w:rFonts w:hAnsi="Times New Roman" w:cs="Times New Roman"/>
          <w:sz w:val="24"/>
          <w:szCs w:val="24"/>
          <w:lang w:val="ru-RU"/>
        </w:rPr>
        <w:t xml:space="preserve"> «Положение о комиссии по поступлению и выбытию активов»</w:t>
      </w:r>
      <w:r w:rsidR="00D2178C" w:rsidRPr="008C4A39">
        <w:rPr>
          <w:rFonts w:hAnsi="Times New Roman" w:cs="Times New Roman"/>
          <w:sz w:val="24"/>
          <w:szCs w:val="24"/>
          <w:lang w:val="ru-RU"/>
        </w:rPr>
        <w:t>);</w:t>
      </w:r>
      <w:r w:rsidR="00D2178C" w:rsidRPr="008C4A39">
        <w:rPr>
          <w:lang w:val="ru-RU"/>
        </w:rPr>
        <w:br/>
      </w:r>
      <w:r w:rsidR="00D2178C" w:rsidRPr="008C4A39">
        <w:rPr>
          <w:rFonts w:hAnsi="Times New Roman" w:cs="Times New Roman"/>
          <w:sz w:val="24"/>
          <w:szCs w:val="24"/>
          <w:lang w:val="ru-RU"/>
        </w:rPr>
        <w:t>– инвентаризационная комиссия (приложение</w:t>
      </w:r>
      <w:r w:rsidR="00C42CCF" w:rsidRPr="008C4A39">
        <w:rPr>
          <w:rFonts w:hAnsi="Times New Roman" w:cs="Times New Roman"/>
          <w:sz w:val="24"/>
          <w:szCs w:val="24"/>
          <w:lang w:val="ru-RU"/>
        </w:rPr>
        <w:t xml:space="preserve"> 2</w:t>
      </w:r>
      <w:r w:rsidR="00D2178C" w:rsidRPr="008C4A39">
        <w:rPr>
          <w:rFonts w:hAnsi="Times New Roman" w:cs="Times New Roman"/>
          <w:sz w:val="24"/>
          <w:szCs w:val="24"/>
          <w:lang w:val="ru-RU"/>
        </w:rPr>
        <w:t>);</w:t>
      </w:r>
      <w:r w:rsidR="00FE73B1" w:rsidRPr="008C4A39"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- комиссия по внутреннему контролю (приложение 3)</w:t>
      </w:r>
      <w:r w:rsidR="00D2178C" w:rsidRPr="008C4A39">
        <w:rPr>
          <w:lang w:val="ru-RU"/>
        </w:rPr>
        <w:br/>
      </w:r>
      <w:r w:rsidR="00D63B5E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комиссий определяются отдельными приказами.</w:t>
      </w:r>
    </w:p>
    <w:p w:rsidR="00F96565" w:rsidRPr="00D2178C" w:rsidRDefault="00BF1A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 сайте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путем размещения копий документов учетной политики.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F96565" w:rsidRPr="00D2178C" w:rsidRDefault="00BF1A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положение, финансовые результаты деятельности учреждения и движение его денежных средств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на основе своего профессионального суждения. Также на основе профессионального суждения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оценивается существенность ошибок отчетного периода, выявленных после утверждения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отчетности, в целях принятия решения о раскрытии в Пояснениях к отчетности информации о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Технология обработки учетной информации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ведется в электронном виде </w:t>
      </w:r>
      <w:r w:rsidR="007972FB">
        <w:rPr>
          <w:rFonts w:hAnsi="Times New Roman" w:cs="Times New Roman"/>
          <w:color w:val="000000"/>
          <w:sz w:val="24"/>
          <w:szCs w:val="24"/>
          <w:lang w:val="ru-RU"/>
        </w:rPr>
        <w:t>в подсистемах бюджетного (бухгалтерского) учета учреждений (ПБУУ) и подсистеме оплаты труда (ПОТ).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 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осуществляет электронный документооборот по следующим направлениям: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электронного документооборота с </w:t>
      </w:r>
      <w:r w:rsidR="00785175">
        <w:rPr>
          <w:rFonts w:hAnsi="Times New Roman" w:cs="Times New Roman"/>
          <w:color w:val="000000"/>
          <w:sz w:val="24"/>
          <w:szCs w:val="24"/>
          <w:lang w:val="ru-RU"/>
        </w:rPr>
        <w:t>комитетом Финансов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отчетности по налогам, сборам и иным обязательным платежам в 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Фонда пенсионного и социального страхования;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Default="008716F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Федеральную службу государственной статистики</w:t>
      </w:r>
    </w:p>
    <w:p w:rsidR="00B27A02" w:rsidRDefault="00B27A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электронный документооборот с ПАО «СБЕРБАНК»</w:t>
      </w:r>
    </w:p>
    <w:p w:rsidR="00B27A02" w:rsidRDefault="00B27A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электронный документооборот с Комитетом государственного заказа Ленинградской области</w:t>
      </w:r>
    </w:p>
    <w:p w:rsidR="00B27A02" w:rsidRPr="008716F0" w:rsidRDefault="00B27A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на ЕИС и электронных площадках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Сдача бухгалтерской (финансовой) отчетности — в «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Свод Смарт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Обмен финансовыми и другими документами осуществляется в системе удаленного финансового документооборота 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АЦК Финансы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(добавление новых записей) в электронных базах данных не допускаются.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 отчетности:</w:t>
      </w:r>
    </w:p>
    <w:p w:rsidR="00F96565" w:rsidRPr="00D2178C" w:rsidRDefault="00D217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сервере ежедневно производится сохранение резервных копий базы «Бухгалтерия», еженедельно – «Зарплата»;</w:t>
      </w:r>
    </w:p>
    <w:p w:rsidR="00F96565" w:rsidRPr="00D2178C" w:rsidRDefault="00D217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квартала и отчетного года после сдачи отчетности производится запись копии базы данных на внешний носитель –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-карту, которая хранится в сейфе</w:t>
      </w:r>
      <w:r w:rsidR="00045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 бумажный носитель и 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папки в хронологическом порядке.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1.. Порядок и сроки передачи первичных учетных документов для отражения в бухгалтерском учете установлены в графике </w:t>
      </w:r>
      <w:r w:rsidRPr="005103FC">
        <w:rPr>
          <w:rFonts w:hAnsi="Times New Roman" w:cs="Times New Roman"/>
          <w:sz w:val="24"/>
          <w:szCs w:val="24"/>
          <w:lang w:val="ru-RU"/>
        </w:rPr>
        <w:t xml:space="preserve">документооборота (приложение </w:t>
      </w:r>
      <w:r w:rsidR="006C79D4">
        <w:rPr>
          <w:rFonts w:hAnsi="Times New Roman" w:cs="Times New Roman"/>
          <w:sz w:val="24"/>
          <w:szCs w:val="24"/>
          <w:lang w:val="ru-RU"/>
        </w:rPr>
        <w:t>4</w:t>
      </w:r>
      <w:r w:rsidRPr="005103FC">
        <w:rPr>
          <w:rFonts w:hAnsi="Times New Roman" w:cs="Times New Roman"/>
          <w:sz w:val="24"/>
          <w:szCs w:val="24"/>
          <w:lang w:val="ru-RU"/>
        </w:rPr>
        <w:t xml:space="preserve"> к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политике)</w:t>
      </w:r>
      <w:r w:rsidR="007F7E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 пункта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 типовые формы первичных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использует:</w:t>
      </w:r>
    </w:p>
    <w:p w:rsidR="00F96565" w:rsidRPr="00027753" w:rsidRDefault="00D217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разработанные формы, которые приведены </w:t>
      </w:r>
      <w:r w:rsidRPr="005103FC">
        <w:rPr>
          <w:rFonts w:hAnsi="Times New Roman" w:cs="Times New Roman"/>
          <w:sz w:val="24"/>
          <w:szCs w:val="24"/>
          <w:lang w:val="ru-RU"/>
        </w:rPr>
        <w:t xml:space="preserve">в приложении </w:t>
      </w:r>
      <w:r w:rsidR="0068304F">
        <w:rPr>
          <w:rFonts w:hAnsi="Times New Roman" w:cs="Times New Roman"/>
          <w:sz w:val="24"/>
          <w:szCs w:val="24"/>
          <w:lang w:val="ru-RU"/>
        </w:rPr>
        <w:t>5</w:t>
      </w:r>
      <w:r w:rsidRPr="005103FC">
        <w:rPr>
          <w:rFonts w:hAnsi="Times New Roman" w:cs="Times New Roman"/>
          <w:sz w:val="24"/>
          <w:szCs w:val="24"/>
          <w:lang w:val="ru-RU"/>
        </w:rPr>
        <w:t>;</w:t>
      </w:r>
    </w:p>
    <w:p w:rsidR="00F96565" w:rsidRPr="00D2178C" w:rsidRDefault="00D2178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3. Право подписи учетных документов предоставлено сотрудникам, занимающим должности, перечисленные </w:t>
      </w:r>
      <w:r w:rsidRPr="005103FC">
        <w:rPr>
          <w:rFonts w:hAnsi="Times New Roman" w:cs="Times New Roman"/>
          <w:sz w:val="24"/>
          <w:szCs w:val="24"/>
          <w:lang w:val="ru-RU"/>
        </w:rPr>
        <w:t xml:space="preserve">в </w:t>
      </w:r>
      <w:r w:rsidRPr="008C4A39">
        <w:rPr>
          <w:rFonts w:hAnsi="Times New Roman" w:cs="Times New Roman"/>
          <w:sz w:val="24"/>
          <w:szCs w:val="24"/>
          <w:lang w:val="ru-RU"/>
        </w:rPr>
        <w:t xml:space="preserve">приложении </w:t>
      </w:r>
      <w:r w:rsidR="0068304F" w:rsidRPr="008C4A39">
        <w:rPr>
          <w:rFonts w:hAnsi="Times New Roman" w:cs="Times New Roman"/>
          <w:sz w:val="24"/>
          <w:szCs w:val="24"/>
          <w:lang w:val="ru-RU"/>
        </w:rPr>
        <w:t>6</w:t>
      </w:r>
      <w:r w:rsidRPr="0037366D">
        <w:rPr>
          <w:rFonts w:hAnsi="Times New Roman" w:cs="Times New Roman"/>
          <w:color w:val="C00000"/>
          <w:sz w:val="24"/>
          <w:szCs w:val="24"/>
          <w:lang w:val="ru-RU"/>
        </w:rPr>
        <w:t xml:space="preserve">.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Пофамильный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список сотрудников, имеющих право подписи, утверждается отдельным приказом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8738AF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 Учреждение применяет с 1 января 2023 года электронные формы первичных документов и регистров бухучета, обязательные к применению по приказу Минфина от </w:t>
      </w:r>
      <w:r w:rsidR="008738AF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8738A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738A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738AF"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8738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 w:rsidP="00475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формы применяются вне централизуемых полномочий — при самостоятельном оформлении учреждением и регистрации фактов хозяйственной жизни.</w:t>
      </w:r>
    </w:p>
    <w:p w:rsidR="00FC2F53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6. Учреждение</w:t>
      </w:r>
      <w:r w:rsidR="00FC2F53" w:rsidRP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применяет путевой лист  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>на бумажном носителе.</w:t>
      </w:r>
      <w:r w:rsidRPr="00D2178C">
        <w:rPr>
          <w:lang w:val="ru-RU"/>
        </w:rPr>
        <w:br/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 При поступлении документов на 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 отдельном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документе, заверяются подписью сотрудника, составившего перевод, и 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 переводчик.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 денежных (финансовых) документов заверяется нотариусом.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 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граф, их названию, расшифровке работ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д. и отличаются только суммой), то в 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постоянных показателей достаточно однократного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русский язык. Впоследствии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 данного первичного документа.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 Учреждение использует унифицированные формы регистров бухучета, перечисленные в приложении 3 к приказу № 52н и приложении 3 к приказу № 61н. При необходимости формы регистров, которые не унифицированы, разрабатываются самостоятельно.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 157н, подпункт «г» пункта 9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 порядке: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документы по датам совершения операций, дате принятия к учету первичного документа;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 в последний рабочий день месяца;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мере внесения изменений (данных о переоценке, модернизации, реконструкции,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года, со сведениями о начисленной амортизации;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книга учета бланков строгой отчетности, книга аналитического учета депонированной зарплаты и стипендий заполняются </w:t>
      </w:r>
      <w:r w:rsidR="00BD65CC">
        <w:rPr>
          <w:rFonts w:hAnsi="Times New Roman" w:cs="Times New Roman"/>
          <w:color w:val="000000"/>
          <w:sz w:val="24"/>
          <w:szCs w:val="24"/>
          <w:lang w:val="ru-RU"/>
        </w:rPr>
        <w:t>по необходимости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, в последний день месяца;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</w:t>
      </w:r>
      <w:r w:rsidR="00475F6D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заполняются ежемесячно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, главная книга заполня</w:t>
      </w:r>
      <w:r w:rsidR="00475F6D">
        <w:rPr>
          <w:rFonts w:hAnsi="Times New Roman" w:cs="Times New Roman"/>
          <w:color w:val="000000"/>
          <w:sz w:val="24"/>
          <w:szCs w:val="24"/>
          <w:lang w:val="ru-RU"/>
        </w:rPr>
        <w:t>ется поквартально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Pr="00D2178C" w:rsidRDefault="00D2178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167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Методические указания, утвержденные приказом Минфина от 30.03.2015 № 52н.</w:t>
      </w:r>
    </w:p>
    <w:p w:rsidR="00F96565" w:rsidRPr="00083CF1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083CF1">
        <w:rPr>
          <w:rFonts w:hAnsi="Times New Roman" w:cs="Times New Roman"/>
          <w:sz w:val="24"/>
          <w:szCs w:val="24"/>
          <w:lang w:val="ru-RU"/>
        </w:rPr>
        <w:t>10. Журнал операций расчетов по оплате труда, денежному довольствию и стипендиям (ф.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0504071) ведется по кодам финансового обеспечения деятельности и по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счетам:</w:t>
      </w:r>
    </w:p>
    <w:p w:rsidR="00F96565" w:rsidRPr="00083CF1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83CF1">
        <w:rPr>
          <w:rFonts w:hAnsi="Times New Roman" w:cs="Times New Roman"/>
          <w:sz w:val="24"/>
          <w:szCs w:val="24"/>
          <w:lang w:val="ru-RU"/>
        </w:rPr>
        <w:t>КБК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Х.302.11.000 «Расчеты по заработной плате» и КБК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Х.302.13.000 «Расчеты по начислениям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на выплаты по оплате труда»;</w:t>
      </w:r>
    </w:p>
    <w:p w:rsidR="00F96565" w:rsidRPr="00083CF1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83CF1">
        <w:rPr>
          <w:rFonts w:hAnsi="Times New Roman" w:cs="Times New Roman"/>
          <w:sz w:val="24"/>
          <w:szCs w:val="24"/>
          <w:lang w:val="ru-RU"/>
        </w:rPr>
        <w:t>КБК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Х.302.12.000 «Расчеты по прочим несоциальным выплатам персоналу в денежной форме» и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КБК Х.302.14.000 «Расчеты по прочим несоциальным выплатам персоналу в натуральной форме»;</w:t>
      </w:r>
    </w:p>
    <w:p w:rsidR="00F96565" w:rsidRPr="00083CF1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83CF1">
        <w:rPr>
          <w:rFonts w:hAnsi="Times New Roman" w:cs="Times New Roman"/>
          <w:sz w:val="24"/>
          <w:szCs w:val="24"/>
          <w:lang w:val="ru-RU"/>
        </w:rPr>
        <w:t>КБК Х.302.66.000 «Расчеты по социальным пособиям и компенсациям персоналу в денежной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форме» и КБК Х.302.67.000 «Расчеты по социальным компенсациям персоналу в натуральной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форме»;</w:t>
      </w:r>
    </w:p>
    <w:p w:rsidR="00F96565" w:rsidRPr="00083CF1" w:rsidRDefault="00D2178C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83CF1">
        <w:rPr>
          <w:rFonts w:hAnsi="Times New Roman" w:cs="Times New Roman"/>
          <w:sz w:val="24"/>
          <w:szCs w:val="24"/>
          <w:lang w:val="ru-RU"/>
        </w:rPr>
        <w:t>КБК</w:t>
      </w:r>
      <w:r w:rsidRPr="00083CF1">
        <w:rPr>
          <w:rFonts w:hAnsi="Times New Roman" w:cs="Times New Roman"/>
          <w:sz w:val="24"/>
          <w:szCs w:val="24"/>
        </w:rPr>
        <w:t> </w:t>
      </w:r>
      <w:r w:rsidRPr="00083CF1">
        <w:rPr>
          <w:rFonts w:hAnsi="Times New Roman" w:cs="Times New Roman"/>
          <w:sz w:val="24"/>
          <w:szCs w:val="24"/>
          <w:lang w:val="ru-RU"/>
        </w:rPr>
        <w:t>Х.302.96.000 «Расчеты по иным выплатам текущего характера физическим лицам».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11. Журналам операций присваиваются номера согласно </w:t>
      </w:r>
      <w:r w:rsidRPr="008C4A39">
        <w:rPr>
          <w:rFonts w:hAnsi="Times New Roman" w:cs="Times New Roman"/>
          <w:sz w:val="24"/>
          <w:szCs w:val="24"/>
          <w:lang w:val="ru-RU"/>
        </w:rPr>
        <w:t xml:space="preserve">приложению </w:t>
      </w:r>
      <w:r w:rsidR="0068304F" w:rsidRPr="008C4A39">
        <w:rPr>
          <w:rFonts w:hAnsi="Times New Roman" w:cs="Times New Roman"/>
          <w:sz w:val="24"/>
          <w:szCs w:val="24"/>
          <w:lang w:val="ru-RU"/>
        </w:rPr>
        <w:t>7</w:t>
      </w:r>
      <w:r w:rsidR="00621D1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подписываются главным бухгалтером и бухгалтером, составившим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F96565" w:rsidRPr="00B77DB6" w:rsidRDefault="00D2178C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 0504071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)  формируются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ежемесячно в последний день месяца. К журналам прилагаются первичные учетные документы</w:t>
      </w:r>
      <w:r w:rsidR="00373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12. Первичные и сводные учетные документы, бухгалтерские регистры составляются в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электронного документа, подписанного квалифицированной электронной подписью.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отсутствии возможности составить документ, регистр в электронном виде, он может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составлен на бумажном носителе и заверен собственноручной подписью.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13.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распечатываются на бумажном носителе и заверяются руководителем собственноручной подписью.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заверении одной страницы электронного документа (регистра) проставляется </w:t>
      </w:r>
      <w:r w:rsidR="00083CF1">
        <w:rPr>
          <w:rFonts w:hAnsi="Times New Roman" w:cs="Times New Roman"/>
          <w:color w:val="000000"/>
          <w:sz w:val="24"/>
          <w:szCs w:val="24"/>
          <w:lang w:val="ru-RU"/>
        </w:rPr>
        <w:t>надпись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заверении многостраничного документа заверяется копия каждого листа.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86D6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В деятельности учреждения используются следующие бланки строгой отчетности:</w:t>
      </w:r>
    </w:p>
    <w:p w:rsidR="00F96565" w:rsidRDefault="00D217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бланки трудовых книжек и вкладышей к ним;</w:t>
      </w:r>
    </w:p>
    <w:p w:rsidR="00785175" w:rsidRPr="00D2178C" w:rsidRDefault="00785175" w:rsidP="00F370A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бланков ведется </w:t>
      </w:r>
      <w:r w:rsidR="00F370A4">
        <w:rPr>
          <w:rFonts w:hAnsi="Times New Roman" w:cs="Times New Roman"/>
          <w:color w:val="000000"/>
          <w:sz w:val="24"/>
          <w:szCs w:val="24"/>
          <w:lang w:val="ru-RU"/>
        </w:rPr>
        <w:t xml:space="preserve">в условной оценке: один бланк </w:t>
      </w:r>
      <w:r w:rsidR="0001371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370A4">
        <w:rPr>
          <w:rFonts w:hAnsi="Times New Roman" w:cs="Times New Roman"/>
          <w:color w:val="000000"/>
          <w:sz w:val="24"/>
          <w:szCs w:val="24"/>
          <w:lang w:val="ru-RU"/>
        </w:rPr>
        <w:t xml:space="preserve"> 1 рубль.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F96565" w:rsidRPr="008C4A39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86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13364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 принимаются, хранятся и выдаются в соответствии с порядком, приведенном в</w:t>
      </w:r>
      <w:r w:rsidRPr="0001371A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8C4A39">
        <w:rPr>
          <w:rFonts w:hAnsi="Times New Roman" w:cs="Times New Roman"/>
          <w:sz w:val="24"/>
          <w:szCs w:val="24"/>
          <w:lang w:val="ru-RU"/>
        </w:rPr>
        <w:t xml:space="preserve">приложении </w:t>
      </w:r>
      <w:r w:rsidR="0068304F" w:rsidRPr="008C4A39">
        <w:rPr>
          <w:rFonts w:hAnsi="Times New Roman" w:cs="Times New Roman"/>
          <w:sz w:val="24"/>
          <w:szCs w:val="24"/>
          <w:lang w:val="ru-RU"/>
        </w:rPr>
        <w:t>8</w:t>
      </w:r>
      <w:r w:rsidRPr="008C4A39">
        <w:rPr>
          <w:rFonts w:hAnsi="Times New Roman" w:cs="Times New Roman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86D6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86D6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.1. При ремонте нового оборудования, неисправность которого была выявлена при монтаже,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составляется Акт о выявленных дефектах оборудования по форме № ОС-16 (ф. 0306008).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86D6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.2.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награждении с указанием перечня награждаемых лиц. Если награждение прошло в ходе проведения массового мероприятия, к Акту (ф. 0504230) должны быть приложены экземпляр приказа руководителя о проведении мероприятия и протокол о мероприятии с указанием перечня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награжденных лиц.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86D6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.3. При поступлении имущества и наличных денег от жертвователя или дарителя составляется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в произвольной форме, в котором:</w:t>
      </w:r>
    </w:p>
    <w:p w:rsidR="00F96565" w:rsidRPr="00D2178C" w:rsidRDefault="00D217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пунктом 25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отчетности»;</w:t>
      </w:r>
    </w:p>
    <w:p w:rsidR="00F96565" w:rsidRPr="00D2178C" w:rsidRDefault="00D2178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 передающая сторона:</w:t>
      </w:r>
    </w:p>
    <w:p w:rsidR="00F96565" w:rsidRPr="00D2178C" w:rsidRDefault="00D217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F96565" w:rsidRPr="00D2178C" w:rsidRDefault="00D2178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 или имущество.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86D6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.4. Аналитический учет расчетов по пенсиям, пособиям и иным социальным выплатам,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подопечные получают через учреждение, ведется в Карточке учета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 и расчетов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0504051) в разрезе каждого получателя.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F96565" w:rsidRPr="0068304F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68304F">
        <w:rPr>
          <w:rFonts w:hAnsi="Times New Roman" w:cs="Times New Roman"/>
          <w:sz w:val="24"/>
          <w:szCs w:val="24"/>
          <w:lang w:val="ru-RU"/>
        </w:rPr>
        <w:t>1</w:t>
      </w:r>
      <w:r w:rsidR="00B86D6D" w:rsidRPr="0068304F">
        <w:rPr>
          <w:rFonts w:hAnsi="Times New Roman" w:cs="Times New Roman"/>
          <w:sz w:val="24"/>
          <w:szCs w:val="24"/>
          <w:lang w:val="ru-RU"/>
        </w:rPr>
        <w:t>6</w:t>
      </w:r>
      <w:r w:rsidRPr="0068304F">
        <w:rPr>
          <w:rFonts w:hAnsi="Times New Roman" w:cs="Times New Roman"/>
          <w:sz w:val="24"/>
          <w:szCs w:val="24"/>
          <w:lang w:val="ru-RU"/>
        </w:rPr>
        <w:t>.5.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  <w:r w:rsidRPr="0068304F">
        <w:rPr>
          <w:rFonts w:hAnsi="Times New Roman" w:cs="Times New Roman"/>
          <w:sz w:val="24"/>
          <w:szCs w:val="24"/>
        </w:rPr>
        <w:t> </w:t>
      </w:r>
      <w:r w:rsidRPr="0068304F">
        <w:rPr>
          <w:rFonts w:hAnsi="Times New Roman" w:cs="Times New Roman"/>
          <w:sz w:val="24"/>
          <w:szCs w:val="24"/>
          <w:lang w:val="ru-RU"/>
        </w:rPr>
        <w:t>В графах 20 и 37 отражаются итоговые данные неявок.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304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Расчеты по заработной плате и другим выплатам оформляются в Расчетной ведомости (ф. 0504402) и Платежной ведомости (ф. 0504403).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304F">
        <w:rPr>
          <w:rFonts w:hAnsi="Times New Roman" w:cs="Times New Roman"/>
          <w:color w:val="000000"/>
          <w:sz w:val="24"/>
          <w:szCs w:val="24"/>
          <w:lang w:val="ru-RU"/>
        </w:rPr>
        <w:t>6.7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D107A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, ответственный за оформление расчетных листков, </w:t>
      </w:r>
      <w:r w:rsidR="007D107A">
        <w:rPr>
          <w:rFonts w:hAnsi="Times New Roman" w:cs="Times New Roman"/>
          <w:color w:val="000000"/>
          <w:sz w:val="24"/>
          <w:szCs w:val="24"/>
          <w:lang w:val="ru-RU"/>
        </w:rPr>
        <w:t>вручает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каждому сотруднику </w:t>
      </w:r>
      <w:r w:rsidR="007D107A">
        <w:rPr>
          <w:rFonts w:hAnsi="Times New Roman" w:cs="Times New Roman"/>
          <w:color w:val="000000"/>
          <w:sz w:val="24"/>
          <w:szCs w:val="24"/>
          <w:lang w:val="ru-RU"/>
        </w:rPr>
        <w:t>за день до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выдачи зарплаты за вторую половину месяца</w:t>
      </w:r>
      <w:r w:rsidR="007D107A">
        <w:rPr>
          <w:rFonts w:hAnsi="Times New Roman" w:cs="Times New Roman"/>
          <w:color w:val="000000"/>
          <w:sz w:val="24"/>
          <w:szCs w:val="24"/>
          <w:lang w:val="ru-RU"/>
        </w:rPr>
        <w:t xml:space="preserve">, расчетный листок 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>лично на бумажном носителе.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 (приложение 10),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 подпункт «б» пункта 9 СГС «Учетная политика,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отражении в бухучете хозяйственных операций 1–18-е разряды номера счета Рабочего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формируются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4"/>
        <w:gridCol w:w="7117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F96565" w:rsidRPr="00AE68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F96565" w:rsidRPr="00C42CCF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1002 «Социальное обслуживание населения»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F96565" w:rsidRPr="00D2178C" w:rsidRDefault="00D2178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F96565" w:rsidRPr="00D2178C" w:rsidRDefault="00D2178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F96565" w:rsidRDefault="00D217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F96565" w:rsidRPr="00AE68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F96565" w:rsidRPr="00D2178C" w:rsidRDefault="00D2178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F96565" w:rsidRDefault="00D2178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F96565" w:rsidRPr="00AE68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 учреждения);</w:t>
            </w:r>
          </w:p>
          <w:p w:rsidR="00F96565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F96565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 вложения</w:t>
            </w:r>
          </w:p>
        </w:tc>
      </w:tr>
      <w:tr w:rsidR="00F96565" w:rsidRPr="00AE68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2.1 Инструкции № 174н.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 Рабочем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счетов (приложение </w:t>
      </w:r>
      <w:r w:rsidR="007D593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157н, пункт 19 СГС «Концептуальные основы бухучета и отчетности».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1.1. Бухучет ведется по первичным документам, которые проверены сотрудниками бухгалтерии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положением о внутреннем финансовом контроле (приложение 11).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стоимости выбирает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комиссия учреждения по поступлению и выбытию активов.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 оценки в законодательстве и в настоящей учетной политике, то величина оценочного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показателя определяется профессиональным суждением главного бухгалтера.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1.4.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D93DC8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бесконтактные термометры, диспенсеры для антисептиков, штампы, печати и инвентарь. 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полезного и ожидаемого использования:</w:t>
      </w:r>
    </w:p>
    <w:p w:rsidR="00F96565" w:rsidRDefault="00D2178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2.3. Уникальный инвентарный номер состоит из </w:t>
      </w:r>
      <w:r w:rsidR="0055795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знаков и </w:t>
      </w:r>
      <w:r w:rsidR="00557957">
        <w:rPr>
          <w:rFonts w:hAnsi="Times New Roman" w:cs="Times New Roman"/>
          <w:color w:val="000000"/>
          <w:sz w:val="24"/>
          <w:szCs w:val="24"/>
          <w:lang w:val="ru-RU"/>
        </w:rPr>
        <w:t>формируется по следующим правилам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7957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1-й </w:t>
      </w:r>
      <w:r w:rsidR="00557957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579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>код вида финансового обеспечения (деятельности);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2–4-й 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код синтетического счета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5–6-й 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знаки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– код 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>аналитического счета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Pr="00D2178C" w:rsidRDefault="00D2178C" w:rsidP="00931A5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7–1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-й 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– порядковый номер </w:t>
      </w:r>
      <w:r w:rsidR="00C942E1">
        <w:rPr>
          <w:rFonts w:hAnsi="Times New Roman" w:cs="Times New Roman"/>
          <w:color w:val="000000"/>
          <w:sz w:val="24"/>
          <w:szCs w:val="24"/>
          <w:lang w:val="ru-RU"/>
        </w:rPr>
        <w:t>объекта в группе (000001-999999)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 w:rsidP="00423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2.4 Присвоенный объекту инвентарный номер наносится несмываемой краской</w:t>
      </w:r>
      <w:r w:rsidR="004237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инвентарный номер обозначается на каждом составляющем элементе тем же способом, что 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F96565" w:rsidRDefault="00D2178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F3A22">
        <w:rPr>
          <w:rFonts w:hAnsi="Times New Roman" w:cs="Times New Roman"/>
          <w:color w:val="000000"/>
          <w:sz w:val="24"/>
          <w:szCs w:val="24"/>
          <w:lang w:val="ru-RU"/>
        </w:rPr>
        <w:t>многолетние насаждения;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F96565" w:rsidRPr="004F3A22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таких частей определяется пропорционально следующему показателю </w:t>
      </w:r>
      <w:r w:rsidRPr="004F3A22">
        <w:rPr>
          <w:rFonts w:hAnsi="Times New Roman" w:cs="Times New Roman"/>
          <w:color w:val="000000"/>
          <w:sz w:val="24"/>
          <w:szCs w:val="24"/>
          <w:lang w:val="ru-RU"/>
        </w:rPr>
        <w:t>(в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A22">
        <w:rPr>
          <w:rFonts w:hAnsi="Times New Roman" w:cs="Times New Roman"/>
          <w:color w:val="000000"/>
          <w:sz w:val="24"/>
          <w:szCs w:val="24"/>
          <w:lang w:val="ru-RU"/>
        </w:rPr>
        <w:t>убывания важности):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F96565" w:rsidRPr="00D2178C" w:rsidRDefault="00D2178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F96565" w:rsidRDefault="00D2178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96565" w:rsidRDefault="00D2178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F3A22">
        <w:rPr>
          <w:rFonts w:hAnsi="Times New Roman" w:cs="Times New Roman"/>
          <w:color w:val="000000"/>
          <w:sz w:val="24"/>
          <w:szCs w:val="24"/>
          <w:lang w:val="ru-RU"/>
        </w:rPr>
        <w:t>транспортные средства;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F96565" w:rsidRPr="00D2178C" w:rsidRDefault="00D2178C" w:rsidP="004F3A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линейным методом</w:t>
      </w:r>
      <w:r w:rsidR="004F3A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F3A2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При переоценке объекта основных средств накопленная амортизация на дату переоценки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 пропорционально изменению первоначальной стоимости объекта таким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образом, чтобы его остаточная стоимость после переоценки равнялась его переоцененной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стоимости. При этом балансовая стоимость и накопленная амортизация увеличиваются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(умножаются) на одинаковый коэффициент таким образом, чтобы при их суммировании получить переоцененную стоимость на дату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проведения переоценки.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4F3A2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поступлению и выбытию в соответствии с пунктом 35 СГС «Основные средства». </w:t>
      </w:r>
      <w:r w:rsidR="004F3A22">
        <w:rPr>
          <w:rFonts w:hAnsi="Times New Roman" w:cs="Times New Roman"/>
          <w:color w:val="000000"/>
          <w:sz w:val="24"/>
          <w:szCs w:val="24"/>
          <w:lang w:val="ru-RU"/>
        </w:rPr>
        <w:t>(Приложение 3)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Имущество, относящееся к категории особо ценного имущества (ОЦИ), определяет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 поступлению и выбытию активов (приложение 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). Такое имущество принимается к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 протокола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эксплуатации,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балансовой стоимости.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373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Х.106.00.000,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переводится на код вида деятельности 4 «Субсидии на выполнение 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(муниципального) задания».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Расходы на 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 стоимости, указанной в договоре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поставки.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Передача в пользование объектов, которые содержатся за счет учреждения, отражается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внутреннее перемещение. Учет таких объектов ведется на дополнительном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43П «Имущество, переданное в пользование, – не объект аренды».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Ответственными за хранение технической документации на объекты основных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являются ответственные лица, за которыми закреплены объекты. Если на основное средство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производитель (поставщик) предусмотрел гарантийный срок, ответственное лицо хранит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гарантийные талоны.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. Объекты библиотечного фонда стоимостью до 100 000 руб. учитываются в регистрах бухучета в денежном выражении общей суммой без количественного учета в разрезе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обеспечения:</w:t>
      </w:r>
    </w:p>
    <w:p w:rsidR="00F96565" w:rsidRPr="00D2178C" w:rsidRDefault="00D2178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F96565" w:rsidRDefault="00D2178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</w:t>
      </w:r>
      <w:r w:rsidR="006D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1DFE" w:rsidRPr="00D2178C" w:rsidRDefault="006D1DFE" w:rsidP="006D1DF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 На каждый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объект библиотечного фонда стоимостью свыше 100 000 руб. открывается отдельная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 суммового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учета ведется сотрудниками библиотеки в соответствии с Порядком, утвержденным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Минкультуры от 08.10.2012 № 1077.</w:t>
      </w:r>
    </w:p>
    <w:p w:rsidR="009454A1" w:rsidRPr="00D2178C" w:rsidRDefault="009454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Нематериальные активы</w:t>
      </w:r>
    </w:p>
    <w:p w:rsidR="00F96565" w:rsidRPr="00D2178C" w:rsidRDefault="00D2178C" w:rsidP="00FA2E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линейным методом</w:t>
      </w:r>
      <w:r w:rsidR="00FA2E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 СГС «Непроизведенные активы»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4.2. 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 СГС «Непроизведенные активы»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 составе материальных запасов материальные объекты,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пунктах 98–99 Инструкции к Единому плану счетов № 157н, а 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</w:t>
      </w:r>
      <w:r w:rsidR="00FA2E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2E72">
        <w:rPr>
          <w:rFonts w:hAnsi="Times New Roman" w:cs="Times New Roman"/>
          <w:sz w:val="24"/>
          <w:szCs w:val="24"/>
          <w:lang w:val="ru-RU"/>
        </w:rPr>
        <w:t>5.2</w:t>
      </w:r>
      <w:r w:rsidR="00FA2E72">
        <w:rPr>
          <w:rFonts w:hAnsi="Times New Roman" w:cs="Times New Roman"/>
          <w:sz w:val="24"/>
          <w:szCs w:val="24"/>
          <w:lang w:val="ru-RU"/>
        </w:rPr>
        <w:t>. М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атериальные запасы списываются по средней фактической стоимости.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1789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Предметы мягкого инвентаря маркирует кладовщик в присутствии одного из членов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контролю за сроками маркировки мягкого инвентаря.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Маркировочные штампы хранятся у руководителя</w:t>
      </w:r>
      <w:r w:rsidR="005C23F8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учреждения.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маркировки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не позднее дня, следующего за днем поступления мягкого инвентаря на склад.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</w:t>
      </w:r>
      <w:r w:rsidR="00E1789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Мягкий инвентарь, поступивший в учреждение в комплектах, разукомплектовывается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учитывается поштучно, что оформляется самостоятельно разработанным актом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1789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Ответственное лицо ведет предметно-количественный учет медикаментов и перевязочных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средств. В регистрах бухгалтерского учета учет медикаментов и перевязочных средств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суммовом (денежном) </w:t>
      </w:r>
      <w:r w:rsidR="00263AC1">
        <w:rPr>
          <w:rFonts w:hAnsi="Times New Roman" w:cs="Times New Roman"/>
          <w:color w:val="000000"/>
          <w:sz w:val="24"/>
          <w:szCs w:val="24"/>
          <w:lang w:val="ru-RU"/>
        </w:rPr>
        <w:t xml:space="preserve">и количественном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выражении.</w:t>
      </w:r>
    </w:p>
    <w:p w:rsidR="00F96565" w:rsidRPr="00D2178C" w:rsidRDefault="00D2178C" w:rsidP="00606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1789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Единица учета материальных запасов в учреждении – номенклатурная (реестровая) единица.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в первичных документах поставщика единицы измерения отличаются от тех, которые использует учреждение, ответственный сотрудник оформляет акт перевода единиц измерения. Акт прикладывают к первичным документам поставщика.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СГС «Запасы».</w:t>
      </w:r>
    </w:p>
    <w:p w:rsidR="00F96565" w:rsidRPr="00D2178C" w:rsidRDefault="00D2178C" w:rsidP="00E178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их справедливой стоимости на дату принятия к бухгалтерскому учету, рассчитанной методом рыночных цен;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18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Учреждение применяет следующий порядок подстатей КОСГУ в части учета материальных запасов:</w:t>
      </w:r>
    </w:p>
    <w:p w:rsidR="005A227A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</w:t>
      </w:r>
      <w:r w:rsidR="005A227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. Учет материальных ценностей на хранении ведется обособленно по видам имущества с применением дополнительных кодов к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забалансовому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счету 02 «Материальные ценности на хранении» (приложение 6).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разрезе:</w:t>
      </w:r>
    </w:p>
    <w:p w:rsidR="004A4801" w:rsidRDefault="00D2178C" w:rsidP="004A4801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имущества, принятого на временное хранение от подопечных,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02.1;</w:t>
      </w:r>
      <w:r w:rsidR="004A4801" w:rsidRPr="004A48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4801" w:rsidRPr="00D2178C" w:rsidRDefault="004A4801" w:rsidP="004A4801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другого имущества на хранении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имущества, которое учреждение решило списать, и которое числится за балансом до момента его демонтажа, утилизации, уничтожения,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</w:t>
      </w:r>
      <w:r w:rsidR="004A480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 157н, пункт 19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C0193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 (мягкий инвентарь) изготавливаемые для нужд учреждения и принимаются к учету по фактической стоимости на основании Требования-накладной (ф. 0504204).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6C60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5.15</w:t>
      </w:r>
      <w:r w:rsidR="00D2178C"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Установлены следующие особенности учета материальных запасов:</w:t>
      </w:r>
    </w:p>
    <w:p w:rsidR="00F96565" w:rsidRPr="00D2178C" w:rsidRDefault="006C60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5.15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.1. Особенности учета транспортно-заготовительных расходов.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фактическую стоимость материальных запасов включаются транспортно-заготовительные расходы (ТЗР), в том числе:</w:t>
      </w:r>
    </w:p>
    <w:p w:rsidR="00F96565" w:rsidRPr="00D2178C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погрузочно-разгрузочными работами;</w:t>
      </w:r>
    </w:p>
    <w:p w:rsidR="00F96565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 весу или объему в зависимости от ассортимента полученных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в одну поставку включено несколько разнородных групп материальных запасов, то сначала ТЗР распределяются между этими группами.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</w:t>
      </w:r>
      <w:r w:rsidR="006C60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приобретения и учета горюче-смазочных материалов (ГСМ).</w:t>
      </w:r>
    </w:p>
    <w:p w:rsidR="00606F72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Снабжение автомобильного транспорта ГСМ проводится по топливным картам. 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Нормы на расходы горюче-смазочных материалов (ГСМ)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на автотранспорт и дизель-генераторную станцию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разрабатываются 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>учреждением самостоятельно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расчета потребления топлива дизель-генераторной станции,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но не выше норм, установленных приказом руководителя учреждения.</w:t>
      </w:r>
    </w:p>
    <w:p w:rsidR="00F96565" w:rsidRPr="00D2178C" w:rsidRDefault="006C60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17.</w:t>
      </w:r>
      <w:r w:rsidR="00D2178C"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  <w:r w:rsidR="00D2178C"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Особенности использования и учета мягкого инвентаря.</w:t>
      </w:r>
    </w:p>
    <w:p w:rsidR="00B144B4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учета мягкого инвентаря применяется книга учета материальных ценностей (ф. 0504042), которую ведут материально ответственные лица. Учитывается мягкий инвентарь по наименованиям, сортам и количеству — для каждого наименования объекта учета используется отдельная страница. Бухгалтерия учреждения систематически контролирует поступление и расходование мягкого инвентаря, находящегося на складе и в местах хранения, а также сверяет данные учета инвентаря с записями, которые ведутся на складе. 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предметы мягкого инвентаря при поступлении на склад маркируются. Маркировка проводится штампом несмываемой краской без порчи внешнего вида предмета. На штампе указывается наименование учреждения. Маркировку производит сотрудник склада в присутствии </w:t>
      </w:r>
      <w:r w:rsidR="00860E03">
        <w:rPr>
          <w:rFonts w:hAnsi="Times New Roman" w:cs="Times New Roman"/>
          <w:color w:val="000000"/>
          <w:sz w:val="24"/>
          <w:szCs w:val="24"/>
          <w:lang w:val="ru-RU"/>
        </w:rPr>
        <w:t>члена комиссии по контролю за сроками маркировки мягкого инвентаря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 эксплуатацию проводится дополнительная маркировку с указанием года и месяца выдачи со склада.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Мягкий инвентарь выдается в эксплуатацию по </w:t>
      </w:r>
      <w:r w:rsidR="003655BB">
        <w:rPr>
          <w:rFonts w:hAnsi="Times New Roman" w:cs="Times New Roman"/>
          <w:color w:val="000000"/>
          <w:sz w:val="24"/>
          <w:szCs w:val="24"/>
          <w:lang w:val="ru-RU"/>
        </w:rPr>
        <w:t>заявке, составленной материально-ответственным лицом по требованию накладной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(ф. 05042</w:t>
      </w:r>
      <w:r w:rsidR="00EF3B2E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Операции по перемещению мягкого инвентаря между материально ответственными лицами отражаются путем изменения материально ответственного лица в карточке количественно-суммового учета материальных ценностей (ф. 0504</w:t>
      </w:r>
      <w:r w:rsidR="006B6681">
        <w:rPr>
          <w:rFonts w:hAnsi="Times New Roman" w:cs="Times New Roman"/>
          <w:color w:val="000000"/>
          <w:sz w:val="24"/>
          <w:szCs w:val="24"/>
          <w:lang w:val="ru-RU"/>
        </w:rPr>
        <w:t>204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 изношенности по решению комиссии по поступлению и выбытию активов.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</w:t>
      </w:r>
      <w:r w:rsidR="005711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использования и учета хозяйственного инвентаря.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</w:t>
      </w:r>
      <w:r w:rsidR="007D0D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этом, независимо от срока полезного использования, учитываются как материальные запасы: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швабры, грабли, метлы, веники;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инструменты: слесарно-монтажный, столярно-плотницкий, строительный;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канцтовары, за исключением калькуляторов.</w:t>
      </w:r>
    </w:p>
    <w:p w:rsidR="006D5436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Выдача хозяйственного инвентаря (материалов) на нужды учреждения производится исходя из месячной потребности в нем. </w:t>
      </w:r>
    </w:p>
    <w:p w:rsidR="009454A1" w:rsidRDefault="009454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54A1" w:rsidRDefault="009454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5.1</w:t>
      </w:r>
      <w:r w:rsidR="005711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Учет запчастей за балансом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</w:t>
      </w:r>
      <w:r w:rsidR="00606F72">
        <w:rPr>
          <w:rFonts w:hAnsi="Times New Roman" w:cs="Times New Roman"/>
          <w:color w:val="000000"/>
          <w:sz w:val="24"/>
          <w:szCs w:val="24"/>
          <w:lang w:val="ru-RU"/>
        </w:rPr>
        <w:t>по фактической стоимости.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— четыре единицы на один легковой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 четыре единицы на один легковой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аккумуляторы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аптечки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огнетушители— одна единица на один автомобиль;</w:t>
      </w:r>
    </w:p>
    <w:p w:rsidR="00F96565" w:rsidRPr="006B1EC3" w:rsidRDefault="00F96565" w:rsidP="00606F72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 акте о сезонной замене шин в автомобиле, форма которого разработана учреждением самостоятельно.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F96565" w:rsidRPr="00D2178C" w:rsidRDefault="00D2178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F96565" w:rsidRPr="00D2178C" w:rsidRDefault="00D2178C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F96565" w:rsidRPr="00D2178C" w:rsidRDefault="00D2178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F96565" w:rsidRPr="00D2178C" w:rsidRDefault="00D2178C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F96565" w:rsidRPr="00D2178C" w:rsidRDefault="00D2178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F96565" w:rsidRPr="00D2178C" w:rsidRDefault="00D2178C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 157н.</w:t>
      </w:r>
    </w:p>
    <w:p w:rsidR="00F96565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54A1" w:rsidRPr="00D2178C" w:rsidRDefault="009454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 w:rsidR="005711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списания материальных запасов: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5711B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.1. Списание материальных запасов производится по средней фактической стоимости.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5711B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.2. Выдача в эксплуатацию на нужды учреждения канцелярских принадлежностей, лекарственных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препаратов, запасных частей и хозяйственных материалов оформляется Ведомостью выдачи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на нужды учреждения (ф. 0504210). Эта ведомость является основанием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для списания материальных запасов.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Мягкий и хозяйственный инвентарь, посуда списываются по Акту о списании мягкого и хозяйственного инвентаря (ф. 0504143).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Продукты питания, выданные в столовую, списываются на основании Меню-требования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выдачу продуктов питания (ф. 0504202).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5711B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.3.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F96565" w:rsidRDefault="00D2178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</w:t>
      </w:r>
      <w:r w:rsidR="008A1536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0345001</w:t>
      </w:r>
      <w:r w:rsidR="008A153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материальных запасов (ф. 0504230);</w:t>
      </w:r>
    </w:p>
    <w:p w:rsidR="00F96565" w:rsidRPr="00D2178C" w:rsidRDefault="00D2178C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мягкого и хозяйственного инвентаря (ф. 0504143).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 учету нефинансовых активов расписывается в получении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132875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5711B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760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Данные о справедливой стоимости безвозмездно полученных нефинансовых активов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подтверждаться:</w:t>
      </w:r>
    </w:p>
    <w:p w:rsidR="00F96565" w:rsidRPr="00D2178C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F96565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6D543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товарными чеками приобретенных материалов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Pr="00D2178C" w:rsidRDefault="00D2178C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путем.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Затраты на изготовление готовой продукции, выполнение работ, оказание услуг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 формированию себестоимости ведется раздельно по группам видов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(работ</w:t>
      </w:r>
      <w:r w:rsidR="0035784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6565" w:rsidRDefault="00D2178C" w:rsidP="005711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А) в рамках выполнения государственного задания: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4.109.6</w:t>
      </w:r>
      <w:r w:rsidR="002E0B7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.000;</w:t>
      </w:r>
    </w:p>
    <w:p w:rsidR="00F96565" w:rsidRPr="00D2178C" w:rsidRDefault="005711BF" w:rsidP="003578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Б) </w:t>
      </w:r>
      <w:r w:rsidR="00565B71">
        <w:rPr>
          <w:rFonts w:hAnsi="Times New Roman" w:cs="Times New Roman"/>
          <w:color w:val="000000"/>
          <w:sz w:val="24"/>
          <w:szCs w:val="24"/>
          <w:lang w:val="ru-RU"/>
        </w:rPr>
        <w:t>в рамках приносящей доход деятельности: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КБК</w:t>
      </w:r>
      <w:r w:rsidR="00516EA7">
        <w:rPr>
          <w:rFonts w:hAnsi="Times New Roman" w:cs="Times New Roman"/>
          <w:color w:val="000000"/>
          <w:sz w:val="24"/>
          <w:szCs w:val="24"/>
          <w:lang w:val="ru-RU"/>
        </w:rPr>
        <w:t xml:space="preserve"> 2.109.60.000.</w:t>
      </w:r>
    </w:p>
    <w:p w:rsidR="00F96565" w:rsidRPr="00E41092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E41092">
        <w:rPr>
          <w:rFonts w:hAnsi="Times New Roman" w:cs="Times New Roman"/>
          <w:sz w:val="24"/>
          <w:szCs w:val="24"/>
          <w:lang w:val="ru-RU"/>
        </w:rPr>
        <w:t>7.2. Затраты на оказание услуг (работ</w:t>
      </w:r>
      <w:r w:rsidR="00F01D6F">
        <w:rPr>
          <w:rFonts w:hAnsi="Times New Roman" w:cs="Times New Roman"/>
          <w:sz w:val="24"/>
          <w:szCs w:val="24"/>
          <w:lang w:val="ru-RU"/>
        </w:rPr>
        <w:t>)</w:t>
      </w:r>
      <w:r w:rsidRPr="00E4109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5784E">
        <w:rPr>
          <w:rFonts w:hAnsi="Times New Roman" w:cs="Times New Roman"/>
          <w:sz w:val="24"/>
          <w:szCs w:val="24"/>
          <w:lang w:val="ru-RU"/>
        </w:rPr>
        <w:t xml:space="preserve">распределяются </w:t>
      </w:r>
      <w:r w:rsidRPr="00E41092">
        <w:rPr>
          <w:rFonts w:hAnsi="Times New Roman" w:cs="Times New Roman"/>
          <w:sz w:val="24"/>
          <w:szCs w:val="24"/>
          <w:lang w:val="ru-RU"/>
        </w:rPr>
        <w:t>на прямые</w:t>
      </w:r>
      <w:r w:rsidR="0035784E">
        <w:rPr>
          <w:rFonts w:hAnsi="Times New Roman" w:cs="Times New Roman"/>
          <w:sz w:val="24"/>
          <w:szCs w:val="24"/>
          <w:lang w:val="ru-RU"/>
        </w:rPr>
        <w:t>,</w:t>
      </w:r>
      <w:r w:rsidRPr="00E41092">
        <w:rPr>
          <w:rFonts w:hAnsi="Times New Roman" w:cs="Times New Roman"/>
          <w:sz w:val="24"/>
          <w:szCs w:val="24"/>
          <w:lang w:val="ru-RU"/>
        </w:rPr>
        <w:t xml:space="preserve"> накладные</w:t>
      </w:r>
      <w:r w:rsidR="0035784E">
        <w:rPr>
          <w:rFonts w:hAnsi="Times New Roman" w:cs="Times New Roman"/>
          <w:sz w:val="24"/>
          <w:szCs w:val="24"/>
          <w:lang w:val="ru-RU"/>
        </w:rPr>
        <w:t>, общехозяйственные.</w:t>
      </w:r>
    </w:p>
    <w:p w:rsidR="00F96565" w:rsidRPr="00E41092" w:rsidRDefault="00D2178C" w:rsidP="009F3449">
      <w:pPr>
        <w:rPr>
          <w:rFonts w:hAnsi="Times New Roman" w:cs="Times New Roman"/>
          <w:sz w:val="24"/>
          <w:szCs w:val="24"/>
          <w:lang w:val="ru-RU"/>
        </w:rPr>
      </w:pPr>
      <w:r w:rsidRPr="00E41092">
        <w:rPr>
          <w:rFonts w:hAnsi="Times New Roman" w:cs="Times New Roman"/>
          <w:sz w:val="24"/>
          <w:szCs w:val="24"/>
          <w:lang w:val="ru-RU"/>
        </w:rPr>
        <w:t>В составе прямых затрат при формировании себестоимости оказания услуги, учитываются расходы, непосредственно связанные с ее оказанием. В том числе:</w:t>
      </w:r>
      <w:r w:rsidR="009F3449" w:rsidRPr="00E41092">
        <w:rPr>
          <w:rFonts w:hAnsi="Times New Roman" w:cs="Times New Roman"/>
          <w:sz w:val="24"/>
          <w:szCs w:val="24"/>
          <w:lang w:val="ru-RU"/>
        </w:rPr>
        <w:t xml:space="preserve"> расходы на заработную плату</w:t>
      </w:r>
      <w:r w:rsidR="0035784E">
        <w:rPr>
          <w:rFonts w:hAnsi="Times New Roman" w:cs="Times New Roman"/>
          <w:sz w:val="24"/>
          <w:szCs w:val="24"/>
          <w:lang w:val="ru-RU"/>
        </w:rPr>
        <w:t xml:space="preserve"> и начисления на выплаты по оплате труда сотрудников учреждения, непосредственно участвующих в оказании услуги</w:t>
      </w:r>
      <w:r w:rsidR="009F3449" w:rsidRPr="00E41092">
        <w:rPr>
          <w:rFonts w:hAnsi="Times New Roman" w:cs="Times New Roman"/>
          <w:sz w:val="24"/>
          <w:szCs w:val="24"/>
          <w:lang w:val="ru-RU"/>
        </w:rPr>
        <w:t>, фактическая стоимость материалов, использованных при оказании услуги,</w:t>
      </w:r>
      <w:r w:rsidR="0035784E">
        <w:rPr>
          <w:rFonts w:hAnsi="Times New Roman" w:cs="Times New Roman"/>
          <w:sz w:val="24"/>
          <w:szCs w:val="24"/>
          <w:lang w:val="ru-RU"/>
        </w:rPr>
        <w:t xml:space="preserve"> переданные в эксплуатацию объекты основных средств, стоимостью до 10 000,00 рублей включительно в случае их использования при оказании услуги, сумма амортизации основных средств в случае их использования только для оказания конкретной услуги.</w:t>
      </w:r>
    </w:p>
    <w:p w:rsidR="00E41092" w:rsidRPr="00E41092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E41092">
        <w:rPr>
          <w:rFonts w:hAnsi="Times New Roman" w:cs="Times New Roman"/>
          <w:sz w:val="24"/>
          <w:szCs w:val="24"/>
          <w:lang w:val="ru-RU"/>
        </w:rPr>
        <w:t>В составе накладных расходов при формировании себестоимости услуг (работ</w:t>
      </w:r>
      <w:r w:rsidR="00F01D6F">
        <w:rPr>
          <w:rFonts w:hAnsi="Times New Roman" w:cs="Times New Roman"/>
          <w:sz w:val="24"/>
          <w:szCs w:val="24"/>
          <w:lang w:val="ru-RU"/>
        </w:rPr>
        <w:t>)</w:t>
      </w:r>
      <w:r w:rsidRPr="00E41092">
        <w:rPr>
          <w:rFonts w:hAnsi="Times New Roman" w:cs="Times New Roman"/>
          <w:sz w:val="24"/>
          <w:szCs w:val="24"/>
          <w:lang w:val="ru-RU"/>
        </w:rPr>
        <w:t xml:space="preserve"> учитываются</w:t>
      </w:r>
      <w:r w:rsidRPr="00E41092">
        <w:rPr>
          <w:rFonts w:hAnsi="Times New Roman" w:cs="Times New Roman"/>
          <w:sz w:val="24"/>
          <w:szCs w:val="24"/>
        </w:rPr>
        <w:t> </w:t>
      </w:r>
      <w:r w:rsidRPr="00E41092">
        <w:rPr>
          <w:rFonts w:hAnsi="Times New Roman" w:cs="Times New Roman"/>
          <w:sz w:val="24"/>
          <w:szCs w:val="24"/>
          <w:lang w:val="ru-RU"/>
        </w:rPr>
        <w:t>расходы</w:t>
      </w:r>
      <w:r w:rsidR="009F3449" w:rsidRPr="00E41092">
        <w:rPr>
          <w:rFonts w:hAnsi="Times New Roman" w:cs="Times New Roman"/>
          <w:sz w:val="24"/>
          <w:szCs w:val="24"/>
          <w:lang w:val="ru-RU"/>
        </w:rPr>
        <w:t>, которые непосредственно не связаны с выполнением работ (оказанием услуг)</w:t>
      </w:r>
      <w:r w:rsidR="00E41092" w:rsidRPr="00E41092">
        <w:rPr>
          <w:rFonts w:hAnsi="Times New Roman" w:cs="Times New Roman"/>
          <w:sz w:val="24"/>
          <w:szCs w:val="24"/>
          <w:lang w:val="ru-RU"/>
        </w:rPr>
        <w:t>, однако осуществлены для обеспечения выполнения работ (оказания услуг)</w:t>
      </w:r>
      <w:r w:rsidR="00870C0E">
        <w:rPr>
          <w:rFonts w:hAnsi="Times New Roman" w:cs="Times New Roman"/>
          <w:sz w:val="24"/>
          <w:szCs w:val="24"/>
          <w:lang w:val="ru-RU"/>
        </w:rPr>
        <w:t>, расходы по содержанию и эксплуатации движимого имущества, используемого в производственном процессе, коммунальные и эксплуатационные расходы, иные аналогичные расходы</w:t>
      </w:r>
      <w:r w:rsidR="00E41092" w:rsidRPr="00E41092">
        <w:rPr>
          <w:rFonts w:hAnsi="Times New Roman" w:cs="Times New Roman"/>
          <w:sz w:val="24"/>
          <w:szCs w:val="24"/>
          <w:lang w:val="ru-RU"/>
        </w:rPr>
        <w:t>.</w:t>
      </w:r>
    </w:p>
    <w:p w:rsidR="00F96565" w:rsidRPr="00E41092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E41092">
        <w:rPr>
          <w:rFonts w:hAnsi="Times New Roman" w:cs="Times New Roman"/>
          <w:sz w:val="24"/>
          <w:szCs w:val="24"/>
          <w:lang w:val="ru-RU"/>
        </w:rPr>
        <w:t xml:space="preserve">7.3. В составе общехозяйственных расходов учитываются расходы, </w:t>
      </w:r>
      <w:r w:rsidR="00E41092" w:rsidRPr="00E41092">
        <w:rPr>
          <w:rFonts w:hAnsi="Times New Roman" w:cs="Times New Roman"/>
          <w:sz w:val="24"/>
          <w:szCs w:val="24"/>
          <w:lang w:val="ru-RU"/>
        </w:rPr>
        <w:t xml:space="preserve">которые не связаны с выполнением работ (оказанием услуг) и осуществлены для обеспечения функционирования учреждения в целом как хозяйствующего </w:t>
      </w:r>
      <w:r w:rsidR="00906CCE">
        <w:rPr>
          <w:rFonts w:hAnsi="Times New Roman" w:cs="Times New Roman"/>
          <w:sz w:val="24"/>
          <w:szCs w:val="24"/>
          <w:lang w:val="ru-RU"/>
        </w:rPr>
        <w:t>субъекта</w:t>
      </w:r>
      <w:r w:rsidR="00E41092" w:rsidRPr="00E41092">
        <w:rPr>
          <w:rFonts w:hAnsi="Times New Roman" w:cs="Times New Roman"/>
          <w:sz w:val="24"/>
          <w:szCs w:val="24"/>
          <w:lang w:val="ru-RU"/>
        </w:rPr>
        <w:t>.</w:t>
      </w:r>
    </w:p>
    <w:p w:rsidR="00F96565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E41092">
        <w:rPr>
          <w:rFonts w:hAnsi="Times New Roman" w:cs="Times New Roman"/>
          <w:sz w:val="24"/>
          <w:szCs w:val="24"/>
          <w:lang w:val="ru-RU"/>
        </w:rPr>
        <w:t>7.</w:t>
      </w:r>
      <w:r w:rsidR="00E41092" w:rsidRPr="00E41092">
        <w:rPr>
          <w:rFonts w:hAnsi="Times New Roman" w:cs="Times New Roman"/>
          <w:sz w:val="24"/>
          <w:szCs w:val="24"/>
          <w:lang w:val="ru-RU"/>
        </w:rPr>
        <w:t>4</w:t>
      </w:r>
      <w:r w:rsidRPr="00E41092">
        <w:rPr>
          <w:rFonts w:hAnsi="Times New Roman" w:cs="Times New Roman"/>
          <w:sz w:val="24"/>
          <w:szCs w:val="24"/>
          <w:lang w:val="ru-RU"/>
        </w:rPr>
        <w:t xml:space="preserve">. Себестоимость услуг (работ, готовой продукции) за отчетный </w:t>
      </w:r>
      <w:r w:rsidR="00E41092" w:rsidRPr="00E41092">
        <w:rPr>
          <w:rFonts w:hAnsi="Times New Roman" w:cs="Times New Roman"/>
          <w:sz w:val="24"/>
          <w:szCs w:val="24"/>
          <w:lang w:val="ru-RU"/>
        </w:rPr>
        <w:t>год</w:t>
      </w:r>
      <w:r w:rsidRPr="00E41092">
        <w:rPr>
          <w:rFonts w:hAnsi="Times New Roman" w:cs="Times New Roman"/>
          <w:sz w:val="24"/>
          <w:szCs w:val="24"/>
          <w:lang w:val="ru-RU"/>
        </w:rPr>
        <w:t xml:space="preserve">, сформированная на счете КБК Х.109.60.000, списывается в дебет счета КБК Х.401.10.131 «Доходы от оказания платных услуг (работ)» в последний день </w:t>
      </w:r>
      <w:r w:rsidR="00E41092" w:rsidRPr="00E41092">
        <w:rPr>
          <w:rFonts w:hAnsi="Times New Roman" w:cs="Times New Roman"/>
          <w:sz w:val="24"/>
          <w:szCs w:val="24"/>
          <w:lang w:val="ru-RU"/>
        </w:rPr>
        <w:t>года</w:t>
      </w:r>
      <w:r w:rsidRPr="00E41092">
        <w:rPr>
          <w:rFonts w:hAnsi="Times New Roman" w:cs="Times New Roman"/>
          <w:sz w:val="24"/>
          <w:szCs w:val="24"/>
          <w:lang w:val="ru-RU"/>
        </w:rPr>
        <w:t xml:space="preserve"> за минусом затрат, которые приходятся на незавершенное производство.</w:t>
      </w:r>
    </w:p>
    <w:p w:rsidR="00D468D1" w:rsidRPr="00E41092" w:rsidRDefault="00D468D1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7.5. Расходами, которые не включаются в себестоимость и сразу списываются на финансовый результат (счет КБК Х.401.20.000) признаются: расходы на транспортный, земельный налог, расходы на налог на имущество, штрафы и пени по налогам, штрафы, пени, неустойки за нарушение условий договоров.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 подотчетными лицами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 основании приказа руководителя учреждения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служебной записки, согласованной с 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отчет производится путем:</w:t>
      </w:r>
    </w:p>
    <w:p w:rsidR="00F96565" w:rsidRPr="00D2178C" w:rsidRDefault="00132875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выдачи наличных денежных средств 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материально ответственно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</w:t>
      </w:r>
      <w:r w:rsidR="00B7609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</w:t>
      </w:r>
      <w:r w:rsidR="00781BB3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быть увеличена, но не более лимита расчетов наличными средствами между юридическими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B760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Денежные средства выдаются под отчет на хозяйственные нужды на срок, который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указал в заявлении на выдачу денежных средств под отчет, но не более пяти рабочих дней.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 течение трех</w:t>
      </w:r>
      <w:r w:rsidR="00B760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B760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22345">
        <w:rPr>
          <w:rFonts w:hAnsi="Times New Roman" w:cs="Times New Roman"/>
          <w:sz w:val="24"/>
          <w:szCs w:val="24"/>
          <w:lang w:val="ru-RU"/>
        </w:rPr>
        <w:t>При направлении сотрудников учреждения в служебные командировки на территории России</w:t>
      </w:r>
      <w:r w:rsidRPr="00622345">
        <w:rPr>
          <w:rFonts w:hAnsi="Times New Roman" w:cs="Times New Roman"/>
          <w:sz w:val="24"/>
          <w:szCs w:val="24"/>
        </w:rPr>
        <w:t> </w:t>
      </w:r>
      <w:r w:rsidRPr="00622345">
        <w:rPr>
          <w:rFonts w:hAnsi="Times New Roman" w:cs="Times New Roman"/>
          <w:sz w:val="24"/>
          <w:szCs w:val="24"/>
          <w:lang w:val="ru-RU"/>
        </w:rPr>
        <w:t>расходы на них возмещаются в размере, установленном П</w:t>
      </w:r>
      <w:r w:rsidR="00622345" w:rsidRPr="00622345">
        <w:rPr>
          <w:rFonts w:hAnsi="Times New Roman" w:cs="Times New Roman"/>
          <w:sz w:val="24"/>
          <w:szCs w:val="24"/>
          <w:lang w:val="ru-RU"/>
        </w:rPr>
        <w:t>риказом Комитета по социальной защите населения Ленинградской области от 19.06.2019 г. №20.</w:t>
      </w:r>
      <w:r w:rsidRPr="00622345">
        <w:rPr>
          <w:rFonts w:hAnsi="Times New Roman" w:cs="Times New Roman"/>
          <w:sz w:val="24"/>
          <w:szCs w:val="24"/>
          <w:lang w:val="ru-RU"/>
        </w:rPr>
        <w:t xml:space="preserve"> Возмещение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расходов на служебные командировки, превышающих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размер, установленный указанным Порядком, производится по фактическим расходам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 от деятельности, приносящей доход, с разрешения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(оформленного приказом).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B760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 Предельные сроки отчета по выданным доверенностям на получение материальных ценностей устанавливаются следующие: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B760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Авансовые отчеты брошюруются в хронологическом порядке в последний день отчетного месяца.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 дебиторами и кредиторами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 виновных лиц в возмещение ущерба, причиненного нефинансовым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активам, отражаются по коду вида деятельности «2» – приносящая доход деятельность (собственные доходы учреждения).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 которому активы учитывались.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 виде возмещения эксплуатационных и коммунальных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отражается в учете на основании выставленного арендатору счета, счетов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(подрядчиков), Бухгалтерской справки (ф. 0504833).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9.3.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 — приложение № 19.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F96565" w:rsidRPr="00B7609A" w:rsidRDefault="00D2178C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9.4.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</w:t>
      </w:r>
      <w:r w:rsidR="006223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 обязательствам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10.1. К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Х.303.05.000 «Расчеты по прочим платежам в бюджет» </w:t>
      </w:r>
      <w:r w:rsidR="005A6A30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F96565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F96565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F96565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«Пени, штрафы, санкции по налоговым платежам»;</w:t>
      </w:r>
    </w:p>
    <w:p w:rsidR="00622345" w:rsidRPr="00D2178C" w:rsidRDefault="0062234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«Плата за негативное воздействие на окружающую среду»</w:t>
      </w:r>
    </w:p>
    <w:p w:rsidR="00BA3F1E" w:rsidRDefault="00BA3F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 пособиям и иным социальным выплатам ведется в разрезе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физических лиц – получателей социальных выплат.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F96565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0A2" w:rsidRPr="00D2178C" w:rsidRDefault="00346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Финансовый результат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равномерно (ежемесячно) на протяжении срока пользования объектом учета аренды.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11.2. Доходы от оказания платных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долгосрочным договорам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11 СГС «Долгосрочные договоры».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11.3.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Pr="00D2178C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11.4. Доходы текущего года начисляются: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оказания платных услуг, работ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оплате пеней, штрафа, неустойки;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ведомости расхождений по результатам инвентаризации (ф. 0504092), на дату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ущерба на основании акта комиссии;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F96565" w:rsidRPr="005D1F7E" w:rsidRDefault="00F96565" w:rsidP="005D1F7E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11.5. Учреждение осуществляет все расходы в пределах установленных норм и 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деятельности:</w:t>
      </w:r>
    </w:p>
    <w:p w:rsidR="00F96565" w:rsidRPr="00D2178C" w:rsidRDefault="00D2178C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в Интернет – по фактическому расходу;</w:t>
      </w:r>
    </w:p>
    <w:p w:rsidR="00F96565" w:rsidRPr="00D2178C" w:rsidRDefault="00D2178C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пользование услугами сотовой связи –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лимиту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утвержденному распоряжением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11.6.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 будущих периодов» отражаются расходы по:</w:t>
      </w:r>
    </w:p>
    <w:p w:rsidR="00F96565" w:rsidRDefault="00D2178C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F96565" w:rsidP="007A199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равномерно по 1/12 за месяц в течение периода, к которому они относятся.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 другим расходам,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относятся к будущим периодам, длительность периода устанавливается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приказе.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11.7.В учреждении создаются резервы по выплатам персоналу, на оплату обязательств, по которым нет документов</w:t>
      </w:r>
      <w:r w:rsidR="008F64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BE6295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11.7.1. Резерв расходов по выплатам персоналу. Порядок расчета резерва приведен в </w:t>
      </w:r>
      <w:r w:rsidRPr="00BE6295">
        <w:rPr>
          <w:rFonts w:hAnsi="Times New Roman" w:cs="Times New Roman"/>
          <w:sz w:val="24"/>
          <w:szCs w:val="24"/>
          <w:lang w:val="ru-RU"/>
        </w:rPr>
        <w:t>приложении 1</w:t>
      </w:r>
      <w:r w:rsidR="00A30D6B" w:rsidRPr="00BE6295">
        <w:rPr>
          <w:rFonts w:hAnsi="Times New Roman" w:cs="Times New Roman"/>
          <w:sz w:val="24"/>
          <w:szCs w:val="24"/>
          <w:lang w:val="ru-RU"/>
        </w:rPr>
        <w:t>0</w:t>
      </w:r>
      <w:r w:rsidRPr="00BE6295">
        <w:rPr>
          <w:rFonts w:hAnsi="Times New Roman" w:cs="Times New Roman"/>
          <w:sz w:val="24"/>
          <w:szCs w:val="24"/>
          <w:lang w:val="ru-RU"/>
        </w:rPr>
        <w:t>.</w:t>
      </w:r>
    </w:p>
    <w:p w:rsidR="008F647B" w:rsidRDefault="00E94EA9" w:rsidP="00AC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11.7.2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. Резерв на оплату обязательств, по которым нет документов, </w:t>
      </w:r>
      <w:r w:rsidR="00754FD0">
        <w:rPr>
          <w:rFonts w:hAnsi="Times New Roman" w:cs="Times New Roman"/>
          <w:color w:val="000000"/>
          <w:sz w:val="24"/>
          <w:szCs w:val="24"/>
          <w:lang w:val="ru-RU"/>
        </w:rPr>
        <w:t>создается в случае, когда расходы фактически осуществлены, однако по любым причинам соответствующие документы от контрагента не получены.</w:t>
      </w:r>
      <w:r w:rsidR="00150D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47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Работник, ответственный за осуществление расходов или за взаимодействие с контрагентом, обязан сообщить главному бухгалтеру, о фактическом осуществлении расходов и об отсутствии документов контрагента не позднее рабочего дня, следующего за днем, когда </w:t>
      </w:r>
      <w:r w:rsidR="008F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документы должны быть получены. Резерв создается в сумме, отражающей наи</w:t>
      </w:r>
      <w:r w:rsidR="00464BBD">
        <w:rPr>
          <w:rFonts w:hAnsi="Times New Roman" w:cs="Times New Roman"/>
          <w:color w:val="000000"/>
          <w:sz w:val="24"/>
          <w:szCs w:val="24"/>
          <w:lang w:val="ru-RU"/>
        </w:rPr>
        <w:t>более достоверную денежную оценку расходов, необходимых для расчетов с контрагентом. Наиболее достоверная оценка расходов представляет собой величину, необходимую непосредственно для исполнения (погашения) обязательства перед контрагентом по состоянию на отчетную дату. Величина создаваемого резерва определяется главным бухгалтером и оформляется бухгалтерской справкой. На основании поступивших от контрагента документов фактические расходы отражаются следующим образом: если сумма фактических расходов меньше величины созданного резерва, то расходы относятся полностью за счет резерва, а оставшаяся величина резерва списывается на уменьшение расходов текущего финансового года; если сумма фактических расходов превышает величину созданного резерва, то расходы относятся за счет резерва в полной сумме резерва, а оставшаяся величина расходов относится за счет расходов текущего финансового года.</w:t>
      </w:r>
      <w:r w:rsidR="00150D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СГС «Резервы», пункт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СГС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«Выплаты персоналу».</w:t>
      </w:r>
    </w:p>
    <w:p w:rsidR="00F96565" w:rsidRPr="00D2178C" w:rsidRDefault="00D2178C" w:rsidP="00AC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11.8. Доходы от целевых субсидий по соглашению, заключенному на срок более года, учреждение отражает на счетах:</w:t>
      </w:r>
    </w:p>
    <w:p w:rsidR="00F96565" w:rsidRPr="00D2178C" w:rsidRDefault="00D2178C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F96565" w:rsidRPr="00D2178C" w:rsidRDefault="00D2178C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BE6295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BE6295">
        <w:rPr>
          <w:rFonts w:hAnsi="Times New Roman" w:cs="Times New Roman"/>
          <w:b/>
          <w:bCs/>
          <w:sz w:val="24"/>
          <w:szCs w:val="24"/>
          <w:lang w:val="ru-RU"/>
        </w:rPr>
        <w:t>12. Санкционирование расходов</w:t>
      </w:r>
    </w:p>
    <w:p w:rsidR="00EE634B" w:rsidRPr="008C4A39" w:rsidRDefault="00AC5F13" w:rsidP="00AC5F13">
      <w:pPr>
        <w:rPr>
          <w:sz w:val="24"/>
          <w:szCs w:val="24"/>
          <w:lang w:val="ru-RU"/>
        </w:rPr>
      </w:pPr>
      <w:bookmarkStart w:id="1" w:name="_ref_1-e5c3201eeb7540"/>
      <w:bookmarkStart w:id="2" w:name="_Toc45709943"/>
      <w:bookmarkStart w:id="3" w:name="_Toc46077224"/>
      <w:bookmarkStart w:id="4" w:name="_Toc55317903"/>
      <w:r w:rsidRPr="008C4A39">
        <w:rPr>
          <w:sz w:val="24"/>
          <w:szCs w:val="24"/>
          <w:lang w:val="ru-RU"/>
        </w:rPr>
        <w:t>12.</w:t>
      </w:r>
      <w:proofErr w:type="gramStart"/>
      <w:r w:rsidRPr="008C4A39">
        <w:rPr>
          <w:sz w:val="24"/>
          <w:szCs w:val="24"/>
          <w:lang w:val="ru-RU"/>
        </w:rPr>
        <w:t>1.</w:t>
      </w:r>
      <w:r w:rsidR="00EE634B" w:rsidRPr="008C4A39">
        <w:rPr>
          <w:sz w:val="24"/>
          <w:szCs w:val="24"/>
          <w:lang w:val="ru-RU"/>
        </w:rPr>
        <w:t>Учет</w:t>
      </w:r>
      <w:proofErr w:type="gramEnd"/>
      <w:r w:rsidR="00EE634B" w:rsidRPr="008C4A39">
        <w:rPr>
          <w:sz w:val="24"/>
          <w:szCs w:val="24"/>
          <w:lang w:val="ru-RU"/>
        </w:rPr>
        <w:t xml:space="preserve"> принимаемых обязательств осуществляется на основании:</w:t>
      </w:r>
      <w:bookmarkEnd w:id="1"/>
      <w:bookmarkEnd w:id="2"/>
      <w:bookmarkEnd w:id="3"/>
      <w:bookmarkEnd w:id="4"/>
    </w:p>
    <w:p w:rsidR="00EE634B" w:rsidRPr="008C4A39" w:rsidRDefault="00EE634B" w:rsidP="00AC5F13">
      <w:pPr>
        <w:rPr>
          <w:sz w:val="24"/>
          <w:szCs w:val="24"/>
          <w:lang w:val="ru-RU"/>
        </w:rPr>
      </w:pPr>
      <w:r w:rsidRPr="008C4A39">
        <w:rPr>
          <w:sz w:val="24"/>
          <w:szCs w:val="24"/>
          <w:lang w:val="ru-RU"/>
        </w:rPr>
        <w:t>извещения о проведении конкурса, аукциона, торгов, запроса котировок, запроса предложений;</w:t>
      </w:r>
    </w:p>
    <w:p w:rsidR="00EE634B" w:rsidRPr="008C4A39" w:rsidRDefault="00EE634B" w:rsidP="00AC5F13">
      <w:pPr>
        <w:rPr>
          <w:sz w:val="24"/>
          <w:szCs w:val="24"/>
          <w:lang w:val="ru-RU"/>
        </w:rPr>
      </w:pPr>
      <w:r w:rsidRPr="008C4A39">
        <w:rPr>
          <w:sz w:val="24"/>
          <w:szCs w:val="24"/>
          <w:lang w:val="ru-RU"/>
        </w:rPr>
        <w:t>приглашения принять участие в определении поставщика (подрядчика, исполнителя);</w:t>
      </w:r>
    </w:p>
    <w:p w:rsidR="00EE634B" w:rsidRPr="008C4A39" w:rsidRDefault="00EE634B" w:rsidP="00AC5F13">
      <w:pPr>
        <w:rPr>
          <w:sz w:val="24"/>
          <w:szCs w:val="24"/>
          <w:lang w:val="ru-RU"/>
        </w:rPr>
      </w:pPr>
      <w:r w:rsidRPr="008C4A39">
        <w:rPr>
          <w:sz w:val="24"/>
          <w:szCs w:val="24"/>
          <w:lang w:val="ru-RU"/>
        </w:rPr>
        <w:t>контракта на поставку товаров, выполнение работ, оказание услуг;</w:t>
      </w:r>
    </w:p>
    <w:p w:rsidR="00EE634B" w:rsidRPr="008C4A39" w:rsidRDefault="00EE634B" w:rsidP="00AC5F13">
      <w:pPr>
        <w:rPr>
          <w:sz w:val="24"/>
          <w:szCs w:val="24"/>
          <w:lang w:val="ru-RU"/>
        </w:rPr>
      </w:pPr>
      <w:r w:rsidRPr="008C4A39">
        <w:rPr>
          <w:sz w:val="24"/>
          <w:szCs w:val="24"/>
          <w:lang w:val="ru-RU"/>
        </w:rPr>
        <w:t>договора на поставку товаров, выполнение работ, оказание услуг;</w:t>
      </w:r>
    </w:p>
    <w:p w:rsidR="00EE634B" w:rsidRPr="00AC5F13" w:rsidRDefault="00EE634B" w:rsidP="00AC5F13">
      <w:pPr>
        <w:rPr>
          <w:sz w:val="24"/>
          <w:szCs w:val="24"/>
          <w:lang w:val="ru-RU"/>
        </w:rPr>
      </w:pPr>
      <w:r w:rsidRPr="00AC5F13">
        <w:rPr>
          <w:sz w:val="24"/>
          <w:szCs w:val="24"/>
          <w:lang w:val="ru-RU"/>
        </w:rPr>
        <w:t>протокола конкурсной комиссии;</w:t>
      </w:r>
    </w:p>
    <w:p w:rsidR="00EE634B" w:rsidRPr="00AC5F13" w:rsidRDefault="00EE634B" w:rsidP="00AC5F13">
      <w:pPr>
        <w:rPr>
          <w:sz w:val="24"/>
          <w:szCs w:val="24"/>
          <w:lang w:val="ru-RU"/>
        </w:rPr>
      </w:pPr>
      <w:r w:rsidRPr="00AC5F13">
        <w:rPr>
          <w:sz w:val="24"/>
          <w:szCs w:val="24"/>
          <w:lang w:val="ru-RU"/>
        </w:rPr>
        <w:t>бухгалтерской справки (</w:t>
      </w:r>
      <w:hyperlink r:id="rId6" w:history="1">
        <w:r w:rsidRPr="00AC5F13">
          <w:rPr>
            <w:rStyle w:val="a7"/>
            <w:rFonts w:cs="Times New Roman"/>
            <w:iCs/>
            <w:color w:val="auto"/>
            <w:sz w:val="24"/>
            <w:szCs w:val="24"/>
            <w:lang w:val="ru-RU"/>
          </w:rPr>
          <w:t>ф. 0504833</w:t>
        </w:r>
      </w:hyperlink>
      <w:r w:rsidRPr="00AC5F13">
        <w:rPr>
          <w:sz w:val="24"/>
          <w:szCs w:val="24"/>
          <w:lang w:val="ru-RU"/>
        </w:rPr>
        <w:t>).</w:t>
      </w:r>
    </w:p>
    <w:p w:rsidR="00EE634B" w:rsidRPr="00AC5F13" w:rsidRDefault="00AC5F13" w:rsidP="00AC5F13">
      <w:pPr>
        <w:rPr>
          <w:sz w:val="24"/>
          <w:szCs w:val="24"/>
          <w:lang w:val="ru-RU"/>
        </w:rPr>
      </w:pPr>
      <w:bookmarkStart w:id="5" w:name="_ref_1-731c7ac1727547"/>
      <w:bookmarkStart w:id="6" w:name="_Toc45709944"/>
      <w:bookmarkStart w:id="7" w:name="_Toc46077225"/>
      <w:bookmarkStart w:id="8" w:name="_Toc55317904"/>
      <w:r>
        <w:rPr>
          <w:sz w:val="24"/>
          <w:szCs w:val="24"/>
          <w:lang w:val="ru-RU"/>
        </w:rPr>
        <w:t xml:space="preserve">12.2. </w:t>
      </w:r>
      <w:r w:rsidR="00EE634B" w:rsidRPr="00AC5F13">
        <w:rPr>
          <w:sz w:val="24"/>
          <w:szCs w:val="24"/>
          <w:lang w:val="ru-RU"/>
        </w:rPr>
        <w:t>Учет обязательств осуществляется на основании:</w:t>
      </w:r>
      <w:bookmarkEnd w:id="5"/>
      <w:bookmarkEnd w:id="6"/>
      <w:bookmarkEnd w:id="7"/>
      <w:bookmarkEnd w:id="8"/>
    </w:p>
    <w:p w:rsidR="00EE634B" w:rsidRPr="008C4A39" w:rsidRDefault="00EE634B" w:rsidP="00AC5F13">
      <w:pPr>
        <w:rPr>
          <w:sz w:val="24"/>
          <w:szCs w:val="24"/>
          <w:lang w:val="ru-RU"/>
        </w:rPr>
      </w:pPr>
      <w:r w:rsidRPr="00AC5F13">
        <w:rPr>
          <w:sz w:val="24"/>
          <w:szCs w:val="24"/>
          <w:lang w:val="ru-RU"/>
        </w:rPr>
        <w:t>распорядительного документа об утверждении штатного расписания с расчетом годов</w:t>
      </w:r>
      <w:r w:rsidRPr="008C4A39">
        <w:rPr>
          <w:sz w:val="24"/>
          <w:szCs w:val="24"/>
          <w:lang w:val="ru-RU"/>
        </w:rPr>
        <w:t>ого фонда оплаты труда;</w:t>
      </w:r>
    </w:p>
    <w:p w:rsidR="00EE634B" w:rsidRPr="008C4A39" w:rsidRDefault="00EE634B" w:rsidP="00AC5F13">
      <w:pPr>
        <w:rPr>
          <w:sz w:val="24"/>
          <w:szCs w:val="24"/>
          <w:lang w:val="ru-RU"/>
        </w:rPr>
      </w:pPr>
      <w:r w:rsidRPr="008C4A39">
        <w:rPr>
          <w:sz w:val="24"/>
          <w:szCs w:val="24"/>
          <w:lang w:val="ru-RU"/>
        </w:rPr>
        <w:t>договора (контракта) на поставку товаров, выполнение работ, оказание услуг;</w:t>
      </w:r>
    </w:p>
    <w:p w:rsidR="00EE634B" w:rsidRPr="00AC5F13" w:rsidRDefault="00EE634B" w:rsidP="00AC5F13">
      <w:pPr>
        <w:rPr>
          <w:sz w:val="24"/>
          <w:szCs w:val="24"/>
          <w:lang w:val="ru-RU"/>
        </w:rPr>
      </w:pPr>
      <w:r w:rsidRPr="00AC5F13">
        <w:rPr>
          <w:sz w:val="24"/>
          <w:szCs w:val="24"/>
          <w:lang w:val="ru-RU"/>
        </w:rPr>
        <w:lastRenderedPageBreak/>
        <w:t>при отсутствии договора - акта выполненных работ (оказанных услуг), счета;</w:t>
      </w:r>
    </w:p>
    <w:p w:rsidR="00EE634B" w:rsidRPr="00AC5F13" w:rsidRDefault="00EE634B" w:rsidP="00AC5F13">
      <w:proofErr w:type="spellStart"/>
      <w:r w:rsidRPr="00AC5F13">
        <w:t>исполнительного</w:t>
      </w:r>
      <w:proofErr w:type="spellEnd"/>
      <w:r w:rsidRPr="00AC5F13">
        <w:t xml:space="preserve"> </w:t>
      </w:r>
      <w:proofErr w:type="spellStart"/>
      <w:r w:rsidRPr="00AC5F13">
        <w:t>листа</w:t>
      </w:r>
      <w:proofErr w:type="spellEnd"/>
      <w:r w:rsidRPr="00AC5F13">
        <w:t xml:space="preserve">, </w:t>
      </w:r>
      <w:proofErr w:type="spellStart"/>
      <w:r w:rsidRPr="00AC5F13">
        <w:t>судебного</w:t>
      </w:r>
      <w:proofErr w:type="spellEnd"/>
      <w:r w:rsidRPr="00AC5F13">
        <w:t xml:space="preserve"> </w:t>
      </w:r>
      <w:proofErr w:type="spellStart"/>
      <w:r w:rsidRPr="00AC5F13">
        <w:t>приказа</w:t>
      </w:r>
      <w:proofErr w:type="spellEnd"/>
      <w:r w:rsidRPr="00AC5F13">
        <w:t>;</w:t>
      </w:r>
    </w:p>
    <w:p w:rsidR="00EE634B" w:rsidRPr="00AC5F13" w:rsidRDefault="00EE634B" w:rsidP="00EE634B">
      <w:pPr>
        <w:pStyle w:val="a5"/>
        <w:numPr>
          <w:ilvl w:val="1"/>
          <w:numId w:val="55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налоговой декларации, налогового расчета (расчета авансовых платежей), расчета по страховым взносам;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согласованного руководителем заявления о выдаче под отчет денежных средств или авансового отчета;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соглашения о предоставлении из бюджета межбюджетного трансферта;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нормативного правового акта о предоставлении из бюджета межбюджетного трансферта, если порядком (правилами) его предоставления не предусмотрено заключение соглашения о его предоставлении;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договора (соглашения) о предоставлении субсидии бюджетному или автономному учреждению;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договора (соглашения) о предоставлении бюджетных инвестиций юридическому лицу, не являющемуся учреждением или унитарным предприятием;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нормативного правового акта о предоставлении субсидии юридическому лицу, если порядком (правилами) ее предоставления не предусмотрено заключение договора (соглашения);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закона, нормативного правового акта, в соответствии с которыми возникают публичные нормативные обязательства;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закона, нормативного правового акта, в соответствии с которыми возникают обязательства перед иностранными государствами,</w:t>
      </w:r>
      <w:r w:rsidRPr="00985E9B">
        <w:rPr>
          <w:rFonts w:cs="Times New Roman"/>
          <w:iCs/>
          <w:sz w:val="28"/>
          <w:szCs w:val="28"/>
        </w:rPr>
        <w:t xml:space="preserve"> международными </w:t>
      </w:r>
      <w:r w:rsidRPr="00AC5F13">
        <w:rPr>
          <w:rFonts w:cs="Times New Roman"/>
          <w:iCs/>
        </w:rPr>
        <w:t>организациями, обязательства по уплате взносов, безвозмездных перечислений субъектам международного права, а также обязательства по уплате в бюджет, не требующие заключения договора;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генеральных условий эмиссии и обращения ценных бумаг.</w:t>
      </w:r>
    </w:p>
    <w:p w:rsidR="00AC5F13" w:rsidRPr="00AC5F13" w:rsidRDefault="00AC5F13" w:rsidP="00AC5F13">
      <w:pPr>
        <w:pStyle w:val="3"/>
        <w:keepNext w:val="0"/>
        <w:keepLines w:val="0"/>
        <w:numPr>
          <w:ilvl w:val="1"/>
          <w:numId w:val="57"/>
        </w:numPr>
        <w:spacing w:before="0" w:line="360" w:lineRule="auto"/>
        <w:jc w:val="both"/>
        <w:rPr>
          <w:rFonts w:ascii="Times New Roman" w:hAnsi="Times New Roman" w:cs="Times New Roman"/>
          <w:iCs/>
          <w:color w:val="auto"/>
        </w:rPr>
      </w:pPr>
      <w:bookmarkStart w:id="9" w:name="_ref_1-0fc9698131ea4c"/>
      <w:bookmarkStart w:id="10" w:name="_Toc45709945"/>
      <w:bookmarkStart w:id="11" w:name="_Toc46077226"/>
      <w:bookmarkStart w:id="12" w:name="_Toc55317905"/>
      <w:r w:rsidRPr="00AC5F13">
        <w:rPr>
          <w:rFonts w:ascii="Times New Roman" w:hAnsi="Times New Roman" w:cs="Times New Roman"/>
          <w:iCs/>
          <w:color w:val="auto"/>
        </w:rPr>
        <w:t>Учет денежных обязательств осуществляется на основании:</w:t>
      </w:r>
      <w:bookmarkEnd w:id="9"/>
      <w:bookmarkEnd w:id="10"/>
      <w:bookmarkEnd w:id="11"/>
      <w:bookmarkEnd w:id="12"/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расчетно-платежной ведомости (</w:t>
      </w:r>
      <w:hyperlink r:id="rId7" w:history="1">
        <w:r w:rsidRPr="00AC5F13">
          <w:rPr>
            <w:rStyle w:val="a7"/>
            <w:rFonts w:cs="Times New Roman"/>
            <w:iCs/>
            <w:color w:val="auto"/>
          </w:rPr>
          <w:t>ф. 0504401</w:t>
        </w:r>
      </w:hyperlink>
      <w:r w:rsidRPr="00AC5F13">
        <w:rPr>
          <w:rFonts w:cs="Times New Roman"/>
          <w:iCs/>
        </w:rPr>
        <w:t>);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расчетной ведомости (</w:t>
      </w:r>
      <w:hyperlink r:id="rId8" w:history="1">
        <w:r w:rsidRPr="00AC5F13">
          <w:rPr>
            <w:rStyle w:val="a7"/>
            <w:rFonts w:cs="Times New Roman"/>
            <w:iCs/>
            <w:color w:val="auto"/>
          </w:rPr>
          <w:t>ф. 0504402</w:t>
        </w:r>
      </w:hyperlink>
      <w:r w:rsidRPr="00AC5F13">
        <w:rPr>
          <w:rFonts w:cs="Times New Roman"/>
          <w:iCs/>
        </w:rPr>
        <w:t>);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записки-расчета об исчислении среднего заработка при предоставлении отпуска, увольнении и других случаях (</w:t>
      </w:r>
      <w:hyperlink r:id="rId9" w:history="1">
        <w:r w:rsidRPr="00AC5F13">
          <w:rPr>
            <w:rStyle w:val="a7"/>
            <w:rFonts w:cs="Times New Roman"/>
            <w:iCs/>
            <w:color w:val="auto"/>
          </w:rPr>
          <w:t>ф. 0504425</w:t>
        </w:r>
      </w:hyperlink>
      <w:r w:rsidRPr="00AC5F13">
        <w:rPr>
          <w:rFonts w:cs="Times New Roman"/>
          <w:iCs/>
        </w:rPr>
        <w:t>);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lastRenderedPageBreak/>
        <w:t>бухгалтерской справки (</w:t>
      </w:r>
      <w:hyperlink r:id="rId10" w:history="1">
        <w:r w:rsidRPr="00AC5F13">
          <w:rPr>
            <w:rStyle w:val="a7"/>
            <w:rFonts w:cs="Times New Roman"/>
            <w:iCs/>
            <w:color w:val="auto"/>
          </w:rPr>
          <w:t>ф. 0504833</w:t>
        </w:r>
      </w:hyperlink>
      <w:r w:rsidRPr="00AC5F13">
        <w:rPr>
          <w:rFonts w:cs="Times New Roman"/>
          <w:iCs/>
        </w:rPr>
        <w:t>);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акта выполненных работ;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акта об оказании услуг;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акта приема-передачи;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договора в случае осуществления авансовых платежей в соответствии с его условиями;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авансового отчета (</w:t>
      </w:r>
      <w:hyperlink r:id="rId11" w:history="1">
        <w:r w:rsidRPr="00AC5F13">
          <w:rPr>
            <w:rStyle w:val="a7"/>
            <w:rFonts w:cs="Times New Roman"/>
            <w:iCs/>
            <w:color w:val="auto"/>
          </w:rPr>
          <w:t>ф. 0504505</w:t>
        </w:r>
      </w:hyperlink>
      <w:r w:rsidRPr="00AC5F13">
        <w:rPr>
          <w:rFonts w:cs="Times New Roman"/>
          <w:iCs/>
        </w:rPr>
        <w:t>);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справки-расчета;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счета;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счета-фактуры;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товарной накладной (ТОРГ-12) (</w:t>
      </w:r>
      <w:hyperlink r:id="rId12" w:history="1">
        <w:r w:rsidRPr="00AC5F13">
          <w:rPr>
            <w:rStyle w:val="a7"/>
            <w:rFonts w:cs="Times New Roman"/>
            <w:iCs/>
            <w:color w:val="auto"/>
          </w:rPr>
          <w:t>ф. 0330212</w:t>
        </w:r>
      </w:hyperlink>
      <w:r w:rsidRPr="00AC5F13">
        <w:rPr>
          <w:rFonts w:cs="Times New Roman"/>
          <w:iCs/>
        </w:rPr>
        <w:t>);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универсального передаточного документа;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чека;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квитанции;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исполнительного листа, судебного приказа;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налоговой декларации, налогового расчета (расчета авансовых платежей), расчета по страховым взносам;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согласованного руководителем заявления о выдаче под отчет денежных средств;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контракта в случае осуществления авансовых платежей в соответствии с его условиями;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графика перечисления межбюджетных трансфертов, предусмотренного соглашением о предоставлении межбюджетного трансферта;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заявки о перечислении межбюджетного трансферта из одного бюджета другому по форме, установленной порядком (правилами) предоставления указанного межбюджетного трансферта;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графика перечисления субсидии, предусмотренного договором</w:t>
      </w:r>
      <w:r w:rsidRPr="00985E9B">
        <w:rPr>
          <w:rFonts w:cs="Times New Roman"/>
          <w:iCs/>
          <w:sz w:val="28"/>
          <w:szCs w:val="28"/>
        </w:rPr>
        <w:t xml:space="preserve"> </w:t>
      </w:r>
      <w:r w:rsidRPr="00AC5F13">
        <w:rPr>
          <w:rFonts w:cs="Times New Roman"/>
          <w:iCs/>
        </w:rPr>
        <w:t>(соглашением) о предоставлении субсидии бюджетному или автономному учреждению;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предварительного отчета о выполнении государственного задания;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cs="Times New Roman"/>
          <w:iCs/>
        </w:rPr>
      </w:pPr>
      <w:r w:rsidRPr="00AC5F13">
        <w:rPr>
          <w:rFonts w:cs="Times New Roman"/>
          <w:iCs/>
        </w:rPr>
        <w:t>предварительного отчета о выполнении муниципального задания;</w:t>
      </w:r>
    </w:p>
    <w:p w:rsidR="00AC5F13" w:rsidRPr="00AC5F13" w:rsidRDefault="00AC5F13" w:rsidP="00AC5F13">
      <w:pPr>
        <w:pStyle w:val="a5"/>
        <w:numPr>
          <w:ilvl w:val="1"/>
          <w:numId w:val="54"/>
        </w:numPr>
        <w:spacing w:line="360" w:lineRule="auto"/>
        <w:ind w:left="0"/>
        <w:jc w:val="both"/>
        <w:rPr>
          <w:rFonts w:asciiTheme="minorHAnsi" w:hAnsiTheme="minorHAnsi" w:cstheme="minorHAnsi"/>
          <w:iCs/>
        </w:rPr>
      </w:pPr>
      <w:r w:rsidRPr="00AC5F13">
        <w:rPr>
          <w:rFonts w:asciiTheme="minorHAnsi" w:hAnsiTheme="minorHAnsi" w:cstheme="minorHAnsi"/>
          <w:iCs/>
        </w:rPr>
        <w:t>отчета о выполнении условий предоставления субсидии юридическому лицу в соответствии с порядком (правилами) ее предоставления с документами, подтверждающими фактически произведенные расходы (недополученные доходы).</w:t>
      </w:r>
    </w:p>
    <w:p w:rsidR="00AC5F13" w:rsidRPr="00AC5F13" w:rsidRDefault="00AC5F13" w:rsidP="008C4A39">
      <w:pPr>
        <w:pStyle w:val="a5"/>
        <w:numPr>
          <w:ilvl w:val="1"/>
          <w:numId w:val="57"/>
        </w:numPr>
        <w:spacing w:line="360" w:lineRule="auto"/>
        <w:jc w:val="both"/>
        <w:rPr>
          <w:rFonts w:asciiTheme="minorHAnsi" w:hAnsiTheme="minorHAnsi" w:cstheme="minorHAnsi"/>
        </w:rPr>
      </w:pPr>
      <w:bookmarkStart w:id="13" w:name="_ref_1-19b08ba7d16448"/>
      <w:bookmarkStart w:id="14" w:name="_Toc45709946"/>
      <w:bookmarkStart w:id="15" w:name="_Toc46077227"/>
      <w:bookmarkStart w:id="16" w:name="_Toc55317906"/>
      <w:r w:rsidRPr="00AC5F13">
        <w:rPr>
          <w:rFonts w:cstheme="minorHAnsi"/>
        </w:rPr>
        <w:lastRenderedPageBreak/>
        <w:t>Аналитический учет принимаемых обязательств ведется в разрезе</w:t>
      </w:r>
      <w:r w:rsidRPr="00AC5F13">
        <w:rPr>
          <w:rFonts w:asciiTheme="minorHAnsi" w:hAnsiTheme="minorHAnsi" w:cstheme="minorHAnsi"/>
        </w:rPr>
        <w:t> контрактов (договоров).</w:t>
      </w:r>
    </w:p>
    <w:p w:rsidR="00AC5F13" w:rsidRPr="00AC5F13" w:rsidRDefault="00AC5F13" w:rsidP="00AC5F13">
      <w:pPr>
        <w:pStyle w:val="3"/>
        <w:keepNext w:val="0"/>
        <w:keepLines w:val="0"/>
        <w:spacing w:before="0" w:line="360" w:lineRule="auto"/>
        <w:jc w:val="both"/>
        <w:rPr>
          <w:rFonts w:asciiTheme="minorHAnsi" w:hAnsiTheme="minorHAnsi" w:cstheme="minorHAnsi"/>
          <w:color w:val="auto"/>
        </w:rPr>
      </w:pPr>
      <w:r w:rsidRPr="00AC5F13">
        <w:rPr>
          <w:rFonts w:asciiTheme="minorHAnsi" w:hAnsiTheme="minorHAnsi" w:cstheme="minorHAnsi"/>
          <w:color w:val="auto"/>
        </w:rPr>
        <w:t xml:space="preserve"> (Основание: </w:t>
      </w:r>
      <w:hyperlink r:id="rId13" w:history="1">
        <w:r w:rsidRPr="00A905F5">
          <w:rPr>
            <w:rStyle w:val="a7"/>
            <w:rFonts w:asciiTheme="minorHAnsi" w:hAnsiTheme="minorHAnsi" w:cstheme="minorHAnsi"/>
            <w:color w:val="auto"/>
            <w:u w:val="none"/>
          </w:rPr>
          <w:t>п. 313</w:t>
        </w:r>
      </w:hyperlink>
      <w:r w:rsidRPr="00AC5F13">
        <w:rPr>
          <w:rFonts w:asciiTheme="minorHAnsi" w:hAnsiTheme="minorHAnsi" w:cstheme="minorHAnsi"/>
          <w:color w:val="auto"/>
        </w:rPr>
        <w:t xml:space="preserve"> Инструкции N 157н)</w:t>
      </w:r>
    </w:p>
    <w:p w:rsidR="00AC5F13" w:rsidRPr="000A71AF" w:rsidRDefault="00AC5F13" w:rsidP="00A905F5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905F5">
        <w:rPr>
          <w:rFonts w:cstheme="minorHAnsi"/>
          <w:lang w:val="ru-RU"/>
        </w:rPr>
        <w:t xml:space="preserve">Учет плановых назначений по доходам, расходам и источникам финансирования дефицита (средств учреждения) осуществляется на счетах санкционирования в разрезе составных частей кодов бюджетной классификации (в том числе в разрезе кодов КОСГУ) согласно той детализации доходов, расходов и источников финансирования дефицита (средств учреждения) по кодам бюджетной классификации (в том числе по кодам КОСГУ), которая предусмотрена при доведении (утверждении) плановых </w:t>
      </w:r>
      <w:proofErr w:type="spellStart"/>
      <w:r w:rsidRPr="00A905F5">
        <w:rPr>
          <w:rFonts w:cstheme="minorHAnsi"/>
          <w:lang w:val="ru-RU"/>
        </w:rPr>
        <w:t>назначений.</w:t>
      </w:r>
      <w:r w:rsidRPr="000A71AF">
        <w:rPr>
          <w:rFonts w:cstheme="minorHAnsi"/>
          <w:sz w:val="24"/>
          <w:szCs w:val="24"/>
          <w:lang w:val="ru-RU"/>
        </w:rPr>
        <w:t>Показатели</w:t>
      </w:r>
      <w:proofErr w:type="spellEnd"/>
      <w:r w:rsidRPr="000A71AF">
        <w:rPr>
          <w:rFonts w:cstheme="minorHAnsi"/>
          <w:sz w:val="24"/>
          <w:szCs w:val="24"/>
          <w:lang w:val="ru-RU"/>
        </w:rPr>
        <w:t xml:space="preserve"> (кредитовые остатки), сформированные на конец отчетного финансового года по соответствующим счетам аналитического учета счета 0 502 99 000 "Отложенные обязательства на иные очередные годы (за пределами планового периода)", формируют показатели по соответствующим счетам аналитического учета счета 0 502 99 000 "Отложенные обязательства на иные очередные годы (за пределами планового периода)" на начало года, следующего за отчетным.</w:t>
      </w:r>
    </w:p>
    <w:bookmarkEnd w:id="13"/>
    <w:bookmarkEnd w:id="14"/>
    <w:bookmarkEnd w:id="15"/>
    <w:bookmarkEnd w:id="16"/>
    <w:p w:rsidR="00F96565" w:rsidRPr="000A71AF" w:rsidRDefault="00D2178C" w:rsidP="000A71AF">
      <w:pPr>
        <w:pStyle w:val="a5"/>
        <w:numPr>
          <w:ilvl w:val="0"/>
          <w:numId w:val="57"/>
        </w:numPr>
        <w:rPr>
          <w:rFonts w:cs="Times New Roman"/>
          <w:b/>
          <w:bCs/>
        </w:rPr>
      </w:pPr>
      <w:r w:rsidRPr="000A71AF">
        <w:rPr>
          <w:rFonts w:cs="Times New Roman"/>
          <w:b/>
          <w:bCs/>
        </w:rPr>
        <w:t>События после отчетной даты</w:t>
      </w:r>
      <w:r w:rsidR="000A71AF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0A71AF" w:rsidRPr="002978EF" w:rsidRDefault="002978EF" w:rsidP="000A71AF">
      <w:pPr>
        <w:spacing w:line="360" w:lineRule="auto"/>
        <w:jc w:val="both"/>
        <w:rPr>
          <w:sz w:val="24"/>
          <w:szCs w:val="24"/>
          <w:lang w:val="ru-RU"/>
        </w:rPr>
      </w:pPr>
      <w:r w:rsidRPr="002978EF">
        <w:rPr>
          <w:sz w:val="24"/>
          <w:szCs w:val="24"/>
          <w:lang w:val="ru-RU"/>
        </w:rPr>
        <w:t xml:space="preserve">13.1. </w:t>
      </w:r>
      <w:r w:rsidR="000A71AF" w:rsidRPr="002978EF">
        <w:rPr>
          <w:sz w:val="24"/>
          <w:szCs w:val="24"/>
          <w:lang w:val="ru-RU"/>
        </w:rPr>
        <w:t>Событие после отчетной даты признается существенным в соответствии с критерием, определенным</w:t>
      </w:r>
      <w:r w:rsidR="000A71AF" w:rsidRPr="002978EF">
        <w:rPr>
          <w:sz w:val="24"/>
          <w:szCs w:val="24"/>
        </w:rPr>
        <w:t> </w:t>
      </w:r>
      <w:r w:rsidR="000A71AF" w:rsidRPr="002978EF">
        <w:rPr>
          <w:sz w:val="24"/>
          <w:szCs w:val="24"/>
          <w:lang w:val="ru-RU"/>
        </w:rPr>
        <w:t>для каждого конкретного случая главным бухгалтером по согласованию с руководителем на основании письменного обоснования такого решения.</w:t>
      </w:r>
    </w:p>
    <w:p w:rsidR="000A71AF" w:rsidRPr="002978EF" w:rsidRDefault="002978EF" w:rsidP="002978EF">
      <w:pPr>
        <w:spacing w:line="360" w:lineRule="auto"/>
        <w:jc w:val="both"/>
        <w:rPr>
          <w:sz w:val="24"/>
          <w:szCs w:val="24"/>
          <w:lang w:val="ru-RU"/>
        </w:rPr>
      </w:pPr>
      <w:r w:rsidRPr="002978EF">
        <w:rPr>
          <w:sz w:val="24"/>
          <w:szCs w:val="24"/>
          <w:lang w:val="ru-RU"/>
        </w:rPr>
        <w:t xml:space="preserve">13.2. </w:t>
      </w:r>
      <w:r w:rsidR="000A71AF" w:rsidRPr="002978EF">
        <w:rPr>
          <w:sz w:val="24"/>
          <w:szCs w:val="24"/>
          <w:lang w:val="ru-RU"/>
        </w:rPr>
        <w:t>Предельная дата для события, подтверждающего условия хозяйственной деятельности, определяется:</w:t>
      </w:r>
    </w:p>
    <w:p w:rsidR="000A71AF" w:rsidRPr="002978EF" w:rsidRDefault="000A71AF" w:rsidP="000A71AF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2978EF">
        <w:rPr>
          <w:sz w:val="24"/>
          <w:szCs w:val="24"/>
          <w:lang w:val="ru-RU"/>
        </w:rPr>
        <w:t>-</w:t>
      </w:r>
      <w:r w:rsidRPr="002978EF">
        <w:rPr>
          <w:sz w:val="24"/>
          <w:szCs w:val="24"/>
        </w:rPr>
        <w:t> </w:t>
      </w:r>
      <w:r w:rsidRPr="002978EF">
        <w:rPr>
          <w:sz w:val="24"/>
          <w:szCs w:val="24"/>
          <w:lang w:val="ru-RU"/>
        </w:rPr>
        <w:t>для квартальной отчетности как 3 рабочих дня до установленной даты представления отчетности;</w:t>
      </w:r>
    </w:p>
    <w:p w:rsidR="000A71AF" w:rsidRPr="002978EF" w:rsidRDefault="000A71AF" w:rsidP="000A71AF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2978EF">
        <w:rPr>
          <w:sz w:val="24"/>
          <w:szCs w:val="24"/>
          <w:lang w:val="ru-RU"/>
        </w:rPr>
        <w:t>-</w:t>
      </w:r>
      <w:r w:rsidRPr="002978EF">
        <w:rPr>
          <w:sz w:val="24"/>
          <w:szCs w:val="24"/>
        </w:rPr>
        <w:t> </w:t>
      </w:r>
      <w:r w:rsidRPr="002978EF">
        <w:rPr>
          <w:sz w:val="24"/>
          <w:szCs w:val="24"/>
          <w:lang w:val="ru-RU"/>
        </w:rPr>
        <w:t>для годовой отчетности как 2 рабочих дня до установленной даты представления отчетности.</w:t>
      </w:r>
    </w:p>
    <w:p w:rsidR="000A71AF" w:rsidRPr="002978EF" w:rsidRDefault="000A71AF" w:rsidP="000A71AF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2978EF">
        <w:rPr>
          <w:sz w:val="24"/>
          <w:szCs w:val="24"/>
          <w:lang w:val="ru-RU"/>
        </w:rPr>
        <w:t xml:space="preserve">(Основание: </w:t>
      </w:r>
      <w:hyperlink r:id="rId14" w:history="1">
        <w:proofErr w:type="spellStart"/>
        <w:r w:rsidRPr="002978EF">
          <w:rPr>
            <w:rStyle w:val="a7"/>
            <w:rFonts w:eastAsiaTheme="majorEastAsia"/>
            <w:color w:val="auto"/>
            <w:sz w:val="24"/>
            <w:szCs w:val="24"/>
            <w:lang w:val="ru-RU"/>
          </w:rPr>
          <w:t>пп</w:t>
        </w:r>
        <w:proofErr w:type="spellEnd"/>
        <w:r w:rsidRPr="002978EF">
          <w:rPr>
            <w:rStyle w:val="a7"/>
            <w:rFonts w:eastAsiaTheme="majorEastAsia"/>
            <w:color w:val="auto"/>
            <w:sz w:val="24"/>
            <w:szCs w:val="24"/>
            <w:lang w:val="ru-RU"/>
          </w:rPr>
          <w:t xml:space="preserve">. ж) п. 9 </w:t>
        </w:r>
      </w:hyperlink>
      <w:r w:rsidRPr="002978EF">
        <w:rPr>
          <w:sz w:val="24"/>
          <w:szCs w:val="24"/>
          <w:lang w:val="ru-RU"/>
        </w:rPr>
        <w:t xml:space="preserve">СГС "Учетная политика, оценочные значения и ошибки", </w:t>
      </w:r>
      <w:hyperlink r:id="rId15" w:history="1">
        <w:r w:rsidRPr="002978EF">
          <w:rPr>
            <w:rStyle w:val="a7"/>
            <w:rFonts w:eastAsiaTheme="majorEastAsia"/>
            <w:color w:val="auto"/>
            <w:sz w:val="24"/>
            <w:szCs w:val="24"/>
            <w:lang w:val="ru-RU"/>
          </w:rPr>
          <w:t>п. 2</w:t>
        </w:r>
      </w:hyperlink>
      <w:r w:rsidRPr="002978EF">
        <w:rPr>
          <w:sz w:val="24"/>
          <w:szCs w:val="24"/>
          <w:lang w:val="ru-RU"/>
        </w:rPr>
        <w:t xml:space="preserve"> СГС "События после отчетной даты", </w:t>
      </w:r>
      <w:hyperlink r:id="rId16" w:history="1">
        <w:r w:rsidRPr="002978EF">
          <w:rPr>
            <w:rStyle w:val="a7"/>
            <w:rFonts w:eastAsiaTheme="majorEastAsia"/>
            <w:color w:val="auto"/>
            <w:sz w:val="24"/>
            <w:szCs w:val="24"/>
            <w:lang w:val="ru-RU"/>
          </w:rPr>
          <w:t>п. 3.1</w:t>
        </w:r>
      </w:hyperlink>
      <w:r w:rsidRPr="002978EF">
        <w:rPr>
          <w:sz w:val="24"/>
          <w:szCs w:val="24"/>
          <w:lang w:val="ru-RU"/>
        </w:rPr>
        <w:t xml:space="preserve"> Методических рекомендаций, доведенных </w:t>
      </w:r>
      <w:hyperlink r:id="rId17" w:history="1">
        <w:r w:rsidRPr="002978EF">
          <w:rPr>
            <w:rStyle w:val="a7"/>
            <w:rFonts w:eastAsiaTheme="majorEastAsia"/>
            <w:color w:val="auto"/>
            <w:sz w:val="24"/>
            <w:szCs w:val="24"/>
            <w:lang w:val="ru-RU"/>
          </w:rPr>
          <w:t>письмом</w:t>
        </w:r>
      </w:hyperlink>
      <w:r w:rsidRPr="002978EF">
        <w:rPr>
          <w:sz w:val="24"/>
          <w:szCs w:val="24"/>
          <w:lang w:val="ru-RU"/>
        </w:rPr>
        <w:t xml:space="preserve"> Минфина России от 31.07.2018 </w:t>
      </w:r>
      <w:r w:rsidRPr="002978EF">
        <w:rPr>
          <w:sz w:val="24"/>
          <w:szCs w:val="24"/>
        </w:rPr>
        <w:t>N </w:t>
      </w:r>
      <w:r w:rsidRPr="002978EF">
        <w:rPr>
          <w:sz w:val="24"/>
          <w:szCs w:val="24"/>
          <w:lang w:val="ru-RU"/>
        </w:rPr>
        <w:t>02-06-07/55005)</w:t>
      </w:r>
    </w:p>
    <w:p w:rsidR="000A71AF" w:rsidRPr="002978EF" w:rsidRDefault="002978EF" w:rsidP="002978EF">
      <w:pPr>
        <w:spacing w:line="360" w:lineRule="auto"/>
        <w:jc w:val="both"/>
        <w:rPr>
          <w:rFonts w:eastAsia="Times New Roman"/>
          <w:sz w:val="24"/>
          <w:szCs w:val="24"/>
          <w:lang w:val="ru-RU"/>
        </w:rPr>
      </w:pPr>
      <w:r w:rsidRPr="002978EF">
        <w:rPr>
          <w:rFonts w:eastAsia="Times New Roman"/>
          <w:sz w:val="24"/>
          <w:szCs w:val="24"/>
          <w:lang w:val="ru-RU"/>
        </w:rPr>
        <w:t xml:space="preserve">13.3. </w:t>
      </w:r>
      <w:r w:rsidR="000A71AF" w:rsidRPr="002978EF">
        <w:rPr>
          <w:rFonts w:eastAsia="Times New Roman"/>
          <w:sz w:val="24"/>
          <w:szCs w:val="24"/>
          <w:lang w:val="ru-RU"/>
        </w:rPr>
        <w:t>События после отчетной даты, которые подтверждают существовавшие на отчетную дату условия хозяйственной жизни субъекта учета, отражаются:</w:t>
      </w:r>
    </w:p>
    <w:p w:rsidR="000A71AF" w:rsidRPr="002978EF" w:rsidRDefault="000A71AF" w:rsidP="000A71AF">
      <w:pPr>
        <w:pStyle w:val="a5"/>
        <w:spacing w:line="360" w:lineRule="auto"/>
        <w:ind w:left="0" w:firstLine="709"/>
        <w:jc w:val="both"/>
        <w:rPr>
          <w:rFonts w:eastAsia="Times New Roman"/>
        </w:rPr>
      </w:pPr>
      <w:r w:rsidRPr="002978EF">
        <w:rPr>
          <w:rFonts w:eastAsia="Times New Roman"/>
        </w:rPr>
        <w:lastRenderedPageBreak/>
        <w:t>- по счетам бухгалтерского учета - записи формируются на конец отчетного периода;</w:t>
      </w:r>
    </w:p>
    <w:p w:rsidR="000A71AF" w:rsidRPr="002978EF" w:rsidRDefault="000A71AF" w:rsidP="000A71AF">
      <w:pPr>
        <w:pStyle w:val="a5"/>
        <w:spacing w:line="360" w:lineRule="auto"/>
        <w:ind w:left="0" w:firstLine="709"/>
        <w:jc w:val="both"/>
        <w:rPr>
          <w:rFonts w:eastAsia="Times New Roman"/>
        </w:rPr>
      </w:pPr>
      <w:r w:rsidRPr="002978EF">
        <w:rPr>
          <w:rFonts w:eastAsia="Times New Roman"/>
        </w:rPr>
        <w:t>- в отчетности за отчетный период - формируется с учетом уточненных данных бухгалтерского учета;</w:t>
      </w:r>
    </w:p>
    <w:p w:rsidR="000A71AF" w:rsidRPr="002978EF" w:rsidRDefault="000A71AF" w:rsidP="000A71AF">
      <w:pPr>
        <w:pStyle w:val="a5"/>
        <w:spacing w:line="360" w:lineRule="auto"/>
        <w:ind w:left="0" w:firstLine="709"/>
        <w:jc w:val="both"/>
        <w:rPr>
          <w:rFonts w:eastAsia="Times New Roman"/>
        </w:rPr>
      </w:pPr>
      <w:r w:rsidRPr="002978EF">
        <w:rPr>
          <w:rFonts w:eastAsia="Times New Roman"/>
        </w:rPr>
        <w:t>- в пояснениях к отчетности.</w:t>
      </w:r>
    </w:p>
    <w:p w:rsidR="000A71AF" w:rsidRPr="002978EF" w:rsidRDefault="002978EF" w:rsidP="002978EF">
      <w:pPr>
        <w:spacing w:line="360" w:lineRule="auto"/>
        <w:jc w:val="both"/>
        <w:rPr>
          <w:rFonts w:eastAsia="Times New Roman"/>
          <w:sz w:val="24"/>
          <w:szCs w:val="24"/>
          <w:lang w:val="ru-RU"/>
        </w:rPr>
      </w:pPr>
      <w:r w:rsidRPr="002978EF">
        <w:rPr>
          <w:rFonts w:eastAsia="Times New Roman"/>
          <w:sz w:val="24"/>
          <w:szCs w:val="24"/>
          <w:lang w:val="ru-RU"/>
        </w:rPr>
        <w:t xml:space="preserve">13.4. </w:t>
      </w:r>
      <w:r w:rsidR="000A71AF" w:rsidRPr="002978EF">
        <w:rPr>
          <w:rFonts w:eastAsia="Times New Roman"/>
          <w:sz w:val="24"/>
          <w:szCs w:val="24"/>
          <w:lang w:val="ru-RU"/>
        </w:rPr>
        <w:t>События после отчетной даты, свидетельствующие о возникших после отчетной даты условиях хозяйственной жизни субъекта учета, отражаются:</w:t>
      </w:r>
    </w:p>
    <w:p w:rsidR="000A71AF" w:rsidRPr="002978EF" w:rsidRDefault="000A71AF" w:rsidP="000A71AF">
      <w:pPr>
        <w:pStyle w:val="a5"/>
        <w:spacing w:line="360" w:lineRule="auto"/>
        <w:ind w:left="0" w:firstLine="709"/>
        <w:jc w:val="both"/>
        <w:rPr>
          <w:rFonts w:eastAsia="Times New Roman"/>
        </w:rPr>
      </w:pPr>
      <w:r w:rsidRPr="002978EF">
        <w:rPr>
          <w:rFonts w:eastAsia="Times New Roman"/>
        </w:rPr>
        <w:t>- по счетам бухгалтерского учета - записи формируются в общем порядке в периоде, следующим за отчетным;</w:t>
      </w:r>
    </w:p>
    <w:p w:rsidR="000A71AF" w:rsidRPr="002978EF" w:rsidRDefault="000A71AF" w:rsidP="000A71AF">
      <w:pPr>
        <w:pStyle w:val="a5"/>
        <w:spacing w:line="360" w:lineRule="auto"/>
        <w:ind w:left="0" w:firstLine="709"/>
        <w:jc w:val="both"/>
        <w:rPr>
          <w:rFonts w:eastAsia="Times New Roman"/>
        </w:rPr>
      </w:pPr>
      <w:r w:rsidRPr="002978EF">
        <w:rPr>
          <w:rFonts w:eastAsia="Times New Roman"/>
        </w:rPr>
        <w:t>- числовые данные в отчетности не корректируются;</w:t>
      </w:r>
    </w:p>
    <w:p w:rsidR="000A71AF" w:rsidRPr="002978EF" w:rsidRDefault="000A71AF" w:rsidP="000A71AF">
      <w:pPr>
        <w:pStyle w:val="a5"/>
        <w:spacing w:line="360" w:lineRule="auto"/>
        <w:ind w:left="0" w:firstLine="709"/>
        <w:jc w:val="both"/>
        <w:rPr>
          <w:rFonts w:eastAsia="Times New Roman"/>
        </w:rPr>
      </w:pPr>
      <w:r w:rsidRPr="002978EF">
        <w:rPr>
          <w:rFonts w:eastAsia="Times New Roman"/>
        </w:rPr>
        <w:t>- в пояснениях к отчетности.</w:t>
      </w:r>
    </w:p>
    <w:p w:rsidR="000A71AF" w:rsidRPr="000A71AF" w:rsidRDefault="000A71AF" w:rsidP="000A71AF">
      <w:pPr>
        <w:pStyle w:val="a5"/>
        <w:ind w:left="600"/>
        <w:rPr>
          <w:rFonts w:cs="Times New Roman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Представительские расходы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14.1.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F96565" w:rsidRPr="00D2178C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F96565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14.2. Документами, подтверждающими обоснованность представительских расходов, являются: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 проведении мероприятия и назначении ответственного за него;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 мероприятие;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F96565" w:rsidRPr="00D2178C" w:rsidRDefault="00D2178C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F96565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54A1" w:rsidRPr="00D2178C" w:rsidRDefault="009454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54A1" w:rsidRDefault="00D2178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15. Денежные документы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15.1. В составе денежных документов учитываются:</w:t>
      </w:r>
    </w:p>
    <w:p w:rsidR="00F96565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конверты с марками;</w:t>
      </w:r>
    </w:p>
    <w:p w:rsidR="00F96565" w:rsidRPr="00D2178C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талоны на ГСМ и масла;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169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15.2. 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15.3. Выдача талонов фиксируется в Книге учета движения талонов. Форма книги утверждается учреждением самостоятельно.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 обязательств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том числе числящихся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расходов будущих периодов и резервов) проводит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постоянно действующая инвентаризационная комиссия. Порядок проведения инвентаризации </w:t>
      </w:r>
      <w:r w:rsidR="00AE48F8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AE48F8">
        <w:rPr>
          <w:rFonts w:hAnsi="Times New Roman" w:cs="Times New Roman"/>
          <w:sz w:val="24"/>
          <w:szCs w:val="24"/>
          <w:lang w:val="ru-RU"/>
        </w:rPr>
        <w:t xml:space="preserve">приведен </w:t>
      </w:r>
      <w:r w:rsidRPr="00BE6295">
        <w:rPr>
          <w:rFonts w:hAnsi="Times New Roman" w:cs="Times New Roman"/>
          <w:sz w:val="24"/>
          <w:szCs w:val="24"/>
          <w:lang w:val="ru-RU"/>
        </w:rPr>
        <w:t xml:space="preserve">в приложении </w:t>
      </w:r>
      <w:r w:rsidR="005E34D5" w:rsidRPr="00BE6295">
        <w:rPr>
          <w:rFonts w:hAnsi="Times New Roman" w:cs="Times New Roman"/>
          <w:sz w:val="24"/>
          <w:szCs w:val="24"/>
          <w:lang w:val="ru-RU"/>
        </w:rPr>
        <w:t>2</w:t>
      </w:r>
      <w:r w:rsidRPr="00BE6295">
        <w:rPr>
          <w:rFonts w:hAnsi="Times New Roman" w:cs="Times New Roman"/>
          <w:sz w:val="24"/>
          <w:szCs w:val="24"/>
          <w:lang w:val="ru-RU"/>
        </w:rPr>
        <w:t>.</w:t>
      </w:r>
      <w:r w:rsidRPr="00BE6295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комиссия, состав которой утверждается отельным приказом руководителя учреждения.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 основы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бухучета и отчетности».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 обеспечения внутреннего финансового контроля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постоянный текущий контроль в ходе своей деятельности осуществляют в рамках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F96565" w:rsidRDefault="00D2178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</w:t>
      </w:r>
      <w:proofErr w:type="spellEnd"/>
      <w:r w:rsidR="0029687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F96565" w:rsidRPr="00D2178C" w:rsidRDefault="00D2178C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AE48F8" w:rsidRPr="00BE6295" w:rsidRDefault="00D2178C">
      <w:pPr>
        <w:rPr>
          <w:rFonts w:hAnsi="Times New Roman" w:cs="Times New Roman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 проверок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финансово-хозяйственной деятельности приведен </w:t>
      </w:r>
      <w:r w:rsidRPr="00BE6295">
        <w:rPr>
          <w:rFonts w:hAnsi="Times New Roman" w:cs="Times New Roman"/>
          <w:sz w:val="24"/>
          <w:szCs w:val="24"/>
          <w:lang w:val="ru-RU"/>
        </w:rPr>
        <w:t>в</w:t>
      </w:r>
      <w:r w:rsidRPr="00BE6295">
        <w:rPr>
          <w:rFonts w:hAnsi="Times New Roman" w:cs="Times New Roman"/>
          <w:sz w:val="24"/>
          <w:szCs w:val="24"/>
        </w:rPr>
        <w:t> </w:t>
      </w:r>
      <w:r w:rsidRPr="00BE6295">
        <w:rPr>
          <w:rFonts w:hAnsi="Times New Roman" w:cs="Times New Roman"/>
          <w:sz w:val="24"/>
          <w:szCs w:val="24"/>
          <w:lang w:val="ru-RU"/>
        </w:rPr>
        <w:t xml:space="preserve">приложении </w:t>
      </w:r>
      <w:r w:rsidR="005E34D5" w:rsidRPr="00BE6295">
        <w:rPr>
          <w:rFonts w:hAnsi="Times New Roman" w:cs="Times New Roman"/>
          <w:sz w:val="24"/>
          <w:szCs w:val="24"/>
          <w:lang w:val="ru-RU"/>
        </w:rPr>
        <w:t>3</w:t>
      </w:r>
      <w:r w:rsidRPr="00BE6295">
        <w:rPr>
          <w:rFonts w:hAnsi="Times New Roman" w:cs="Times New Roman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6 Инструкции к Единому плану счетов № 157н.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AE48F8" w:rsidRDefault="004A31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от всех видов деятельности и их оттоками.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AE48F8" w:rsidRDefault="004A31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 Бухгалтерская отчетность формируется и хранится в виде электронного документа в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</w:t>
      </w:r>
      <w:r w:rsidR="000634BA">
        <w:rPr>
          <w:rFonts w:hAnsi="Times New Roman" w:cs="Times New Roman"/>
          <w:color w:val="000000"/>
          <w:sz w:val="24"/>
          <w:szCs w:val="24"/>
          <w:lang w:val="ru-RU"/>
        </w:rPr>
        <w:t>Свод-Смарт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 главного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 главного бухгалтера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 лица)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0039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комиссии, создаваемой в учреждении, с составлением акта приема-передачи.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 прилагается перечень передаваемых документов, с указанием их количества и типа.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 нарушения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организации работы бухгалтерии.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необходимости члены комиссии включают в акт свои рекомендации и предложения,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возникли при приеме-передаче дел.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(или) учредителя в соответствии с приказом на передачу бухгалтерских документов.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квартальные и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и балансы, налоговые декларации;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задание, план-график закупок</w:t>
      </w:r>
      <w:r w:rsidR="000039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 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собственности, выписки из ЕГРП, паспорта транспортных средств и т. п.;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ценностях;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 правоохранительные органы;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F96565" w:rsidRPr="00D2178C" w:rsidRDefault="00D2178C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(или) уполномоченное лицо излагают их в письменной форме в присутствии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комиссии, имеющие замечания по содержанию акта, подписывают его с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Замечания прилагаются». Текст замечаний излагается на 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 самом акте.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F96565" w:rsidRPr="00DA26A3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 учредителю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F96565" w:rsidRPr="00DA26A3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1"/>
        <w:gridCol w:w="1141"/>
        <w:gridCol w:w="170"/>
        <w:gridCol w:w="1924"/>
        <w:gridCol w:w="1924"/>
      </w:tblGrid>
      <w:tr w:rsidR="00F96565" w:rsidTr="00853FC9">
        <w:tc>
          <w:tcPr>
            <w:tcW w:w="22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Pr="000634BA" w:rsidRDefault="00853FC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Т.В. Миронова</w:t>
            </w:r>
          </w:p>
        </w:tc>
      </w:tr>
      <w:tr w:rsidR="00F96565" w:rsidTr="00853FC9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p w:rsidR="00F96565" w:rsidRPr="00346FC7" w:rsidRDefault="00F96565">
      <w:pPr>
        <w:rPr>
          <w:rFonts w:hAnsi="Times New Roman" w:cs="Times New Roman"/>
          <w:color w:val="000000"/>
          <w:sz w:val="300"/>
          <w:szCs w:val="300"/>
          <w:lang w:val="ru-RU"/>
        </w:rPr>
      </w:pPr>
    </w:p>
    <w:p w:rsidR="00346FC7" w:rsidRPr="00346FC7" w:rsidRDefault="00346FC7">
      <w:pPr>
        <w:rPr>
          <w:rFonts w:hAnsi="Times New Roman" w:cs="Times New Roman"/>
          <w:color w:val="000000"/>
          <w:sz w:val="300"/>
          <w:szCs w:val="300"/>
          <w:lang w:val="ru-RU"/>
        </w:rPr>
      </w:pPr>
    </w:p>
    <w:sectPr w:rsidR="00346FC7" w:rsidRPr="00346F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135" w:firstLine="0"/>
      </w:pPr>
    </w:lvl>
  </w:abstractNum>
  <w:abstractNum w:abstractNumId="1" w15:restartNumberingAfterBreak="0">
    <w:nsid w:val="08851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87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83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10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50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41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94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505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57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27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80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D3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B42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F5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72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3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C3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17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193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301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84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E91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D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3C3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275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27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BD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3E0D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B34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CC0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325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910B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FA4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696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9B6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390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AE0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3F770A"/>
    <w:multiLevelType w:val="multilevel"/>
    <w:tmpl w:val="1DE89D1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39" w15:restartNumberingAfterBreak="0">
    <w:nsid w:val="518940FA"/>
    <w:multiLevelType w:val="multilevel"/>
    <w:tmpl w:val="D6089E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6292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DC4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080CB4"/>
    <w:multiLevelType w:val="multilevel"/>
    <w:tmpl w:val="1496367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C21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AC1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785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5F6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835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A47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BC7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6654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66C5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984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A66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E24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0779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29"/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3"/>
  </w:num>
  <w:num w:numId="8">
    <w:abstractNumId w:val="51"/>
  </w:num>
  <w:num w:numId="9">
    <w:abstractNumId w:val="53"/>
  </w:num>
  <w:num w:numId="10">
    <w:abstractNumId w:val="46"/>
  </w:num>
  <w:num w:numId="11">
    <w:abstractNumId w:val="18"/>
  </w:num>
  <w:num w:numId="12">
    <w:abstractNumId w:val="24"/>
  </w:num>
  <w:num w:numId="13">
    <w:abstractNumId w:val="23"/>
  </w:num>
  <w:num w:numId="14">
    <w:abstractNumId w:val="27"/>
  </w:num>
  <w:num w:numId="15">
    <w:abstractNumId w:val="22"/>
  </w:num>
  <w:num w:numId="16">
    <w:abstractNumId w:val="41"/>
  </w:num>
  <w:num w:numId="17">
    <w:abstractNumId w:val="34"/>
  </w:num>
  <w:num w:numId="18">
    <w:abstractNumId w:val="7"/>
  </w:num>
  <w:num w:numId="19">
    <w:abstractNumId w:val="4"/>
  </w:num>
  <w:num w:numId="20">
    <w:abstractNumId w:val="13"/>
  </w:num>
  <w:num w:numId="21">
    <w:abstractNumId w:val="9"/>
  </w:num>
  <w:num w:numId="22">
    <w:abstractNumId w:val="11"/>
  </w:num>
  <w:num w:numId="23">
    <w:abstractNumId w:val="15"/>
  </w:num>
  <w:num w:numId="24">
    <w:abstractNumId w:val="49"/>
  </w:num>
  <w:num w:numId="25">
    <w:abstractNumId w:val="32"/>
  </w:num>
  <w:num w:numId="26">
    <w:abstractNumId w:val="43"/>
  </w:num>
  <w:num w:numId="27">
    <w:abstractNumId w:val="37"/>
  </w:num>
  <w:num w:numId="28">
    <w:abstractNumId w:val="40"/>
  </w:num>
  <w:num w:numId="29">
    <w:abstractNumId w:val="20"/>
  </w:num>
  <w:num w:numId="30">
    <w:abstractNumId w:val="5"/>
  </w:num>
  <w:num w:numId="31">
    <w:abstractNumId w:val="55"/>
  </w:num>
  <w:num w:numId="32">
    <w:abstractNumId w:val="33"/>
  </w:num>
  <w:num w:numId="33">
    <w:abstractNumId w:val="44"/>
  </w:num>
  <w:num w:numId="34">
    <w:abstractNumId w:val="45"/>
  </w:num>
  <w:num w:numId="35">
    <w:abstractNumId w:val="8"/>
  </w:num>
  <w:num w:numId="36">
    <w:abstractNumId w:val="28"/>
  </w:num>
  <w:num w:numId="37">
    <w:abstractNumId w:val="19"/>
  </w:num>
  <w:num w:numId="38">
    <w:abstractNumId w:val="50"/>
  </w:num>
  <w:num w:numId="39">
    <w:abstractNumId w:val="30"/>
  </w:num>
  <w:num w:numId="40">
    <w:abstractNumId w:val="47"/>
  </w:num>
  <w:num w:numId="41">
    <w:abstractNumId w:val="31"/>
  </w:num>
  <w:num w:numId="42">
    <w:abstractNumId w:val="35"/>
  </w:num>
  <w:num w:numId="43">
    <w:abstractNumId w:val="12"/>
  </w:num>
  <w:num w:numId="44">
    <w:abstractNumId w:val="52"/>
  </w:num>
  <w:num w:numId="45">
    <w:abstractNumId w:val="17"/>
  </w:num>
  <w:num w:numId="46">
    <w:abstractNumId w:val="26"/>
  </w:num>
  <w:num w:numId="47">
    <w:abstractNumId w:val="21"/>
  </w:num>
  <w:num w:numId="48">
    <w:abstractNumId w:val="14"/>
  </w:num>
  <w:num w:numId="49">
    <w:abstractNumId w:val="54"/>
  </w:num>
  <w:num w:numId="50">
    <w:abstractNumId w:val="36"/>
  </w:num>
  <w:num w:numId="51">
    <w:abstractNumId w:val="2"/>
  </w:num>
  <w:num w:numId="52">
    <w:abstractNumId w:val="16"/>
  </w:num>
  <w:num w:numId="53">
    <w:abstractNumId w:val="38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42"/>
  </w:num>
  <w:num w:numId="57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39F8"/>
    <w:rsid w:val="0001371A"/>
    <w:rsid w:val="00027753"/>
    <w:rsid w:val="00045650"/>
    <w:rsid w:val="000634BA"/>
    <w:rsid w:val="000652BC"/>
    <w:rsid w:val="00083CF1"/>
    <w:rsid w:val="000840E9"/>
    <w:rsid w:val="000A71AF"/>
    <w:rsid w:val="000D4C5E"/>
    <w:rsid w:val="00132875"/>
    <w:rsid w:val="00150D57"/>
    <w:rsid w:val="00154CFA"/>
    <w:rsid w:val="00212C88"/>
    <w:rsid w:val="00263AC1"/>
    <w:rsid w:val="00296873"/>
    <w:rsid w:val="002978EF"/>
    <w:rsid w:val="002D33B1"/>
    <w:rsid w:val="002D3591"/>
    <w:rsid w:val="002E0B70"/>
    <w:rsid w:val="002F5158"/>
    <w:rsid w:val="003460A2"/>
    <w:rsid w:val="00346FC7"/>
    <w:rsid w:val="003514A0"/>
    <w:rsid w:val="0035784E"/>
    <w:rsid w:val="003655BB"/>
    <w:rsid w:val="0037366D"/>
    <w:rsid w:val="003961BC"/>
    <w:rsid w:val="003E35A0"/>
    <w:rsid w:val="00405282"/>
    <w:rsid w:val="0041181F"/>
    <w:rsid w:val="004237CC"/>
    <w:rsid w:val="00430C1B"/>
    <w:rsid w:val="00450BDD"/>
    <w:rsid w:val="0046024A"/>
    <w:rsid w:val="00464BBD"/>
    <w:rsid w:val="00475F6D"/>
    <w:rsid w:val="00487437"/>
    <w:rsid w:val="004949AF"/>
    <w:rsid w:val="004A3150"/>
    <w:rsid w:val="004A4801"/>
    <w:rsid w:val="004F3A22"/>
    <w:rsid w:val="004F7E17"/>
    <w:rsid w:val="00505DAA"/>
    <w:rsid w:val="005103FC"/>
    <w:rsid w:val="00516EA7"/>
    <w:rsid w:val="00557957"/>
    <w:rsid w:val="005608B0"/>
    <w:rsid w:val="00565B71"/>
    <w:rsid w:val="005711BF"/>
    <w:rsid w:val="005A05CE"/>
    <w:rsid w:val="005A227A"/>
    <w:rsid w:val="005A271F"/>
    <w:rsid w:val="005A6A30"/>
    <w:rsid w:val="005C23F8"/>
    <w:rsid w:val="005C2B4C"/>
    <w:rsid w:val="005D1F7E"/>
    <w:rsid w:val="005E34D5"/>
    <w:rsid w:val="006019EC"/>
    <w:rsid w:val="00606F72"/>
    <w:rsid w:val="00621D14"/>
    <w:rsid w:val="00622345"/>
    <w:rsid w:val="00653AF6"/>
    <w:rsid w:val="0068304F"/>
    <w:rsid w:val="006A4E8A"/>
    <w:rsid w:val="006B1EC3"/>
    <w:rsid w:val="006B6681"/>
    <w:rsid w:val="006C6024"/>
    <w:rsid w:val="006C79D4"/>
    <w:rsid w:val="006D1DFE"/>
    <w:rsid w:val="006D5436"/>
    <w:rsid w:val="007403F1"/>
    <w:rsid w:val="00754FD0"/>
    <w:rsid w:val="00781BB3"/>
    <w:rsid w:val="00785175"/>
    <w:rsid w:val="007972FB"/>
    <w:rsid w:val="007A199D"/>
    <w:rsid w:val="007D0D62"/>
    <w:rsid w:val="007D107A"/>
    <w:rsid w:val="007D593E"/>
    <w:rsid w:val="007F7E47"/>
    <w:rsid w:val="00853FC9"/>
    <w:rsid w:val="00860E03"/>
    <w:rsid w:val="00870C0E"/>
    <w:rsid w:val="008716F0"/>
    <w:rsid w:val="008738AF"/>
    <w:rsid w:val="008A1536"/>
    <w:rsid w:val="008A55AC"/>
    <w:rsid w:val="008C4A39"/>
    <w:rsid w:val="008C6A5F"/>
    <w:rsid w:val="008F647B"/>
    <w:rsid w:val="00906CCE"/>
    <w:rsid w:val="00931A5C"/>
    <w:rsid w:val="009454A1"/>
    <w:rsid w:val="00964F50"/>
    <w:rsid w:val="009742CD"/>
    <w:rsid w:val="009A4754"/>
    <w:rsid w:val="009A4F35"/>
    <w:rsid w:val="009B54FD"/>
    <w:rsid w:val="009F3449"/>
    <w:rsid w:val="00A30D6B"/>
    <w:rsid w:val="00A6507A"/>
    <w:rsid w:val="00A905F5"/>
    <w:rsid w:val="00A9559D"/>
    <w:rsid w:val="00AC5F13"/>
    <w:rsid w:val="00AE48F8"/>
    <w:rsid w:val="00AE56A7"/>
    <w:rsid w:val="00AE68A1"/>
    <w:rsid w:val="00B13364"/>
    <w:rsid w:val="00B144B4"/>
    <w:rsid w:val="00B27A02"/>
    <w:rsid w:val="00B73A5A"/>
    <w:rsid w:val="00B7609A"/>
    <w:rsid w:val="00B77DB6"/>
    <w:rsid w:val="00B86D6D"/>
    <w:rsid w:val="00BA3F1E"/>
    <w:rsid w:val="00BD65CC"/>
    <w:rsid w:val="00BE6295"/>
    <w:rsid w:val="00BF1A20"/>
    <w:rsid w:val="00C01935"/>
    <w:rsid w:val="00C42CCF"/>
    <w:rsid w:val="00C942E1"/>
    <w:rsid w:val="00CB2569"/>
    <w:rsid w:val="00CF5370"/>
    <w:rsid w:val="00D0261C"/>
    <w:rsid w:val="00D2178C"/>
    <w:rsid w:val="00D468D1"/>
    <w:rsid w:val="00D63B5E"/>
    <w:rsid w:val="00D70579"/>
    <w:rsid w:val="00D93DC8"/>
    <w:rsid w:val="00DA26A3"/>
    <w:rsid w:val="00DC17D9"/>
    <w:rsid w:val="00E1789E"/>
    <w:rsid w:val="00E305AF"/>
    <w:rsid w:val="00E36350"/>
    <w:rsid w:val="00E41092"/>
    <w:rsid w:val="00E4293A"/>
    <w:rsid w:val="00E438A1"/>
    <w:rsid w:val="00E82514"/>
    <w:rsid w:val="00E94EA9"/>
    <w:rsid w:val="00EB133D"/>
    <w:rsid w:val="00EC0019"/>
    <w:rsid w:val="00EE634B"/>
    <w:rsid w:val="00EF3B2E"/>
    <w:rsid w:val="00F01D6F"/>
    <w:rsid w:val="00F01E19"/>
    <w:rsid w:val="00F213AF"/>
    <w:rsid w:val="00F23819"/>
    <w:rsid w:val="00F35B94"/>
    <w:rsid w:val="00F370A4"/>
    <w:rsid w:val="00F56442"/>
    <w:rsid w:val="00F96565"/>
    <w:rsid w:val="00FA2E72"/>
    <w:rsid w:val="00FC2F53"/>
    <w:rsid w:val="00FC684D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B6008-AA3A-434F-A822-5D4D26C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0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E634B"/>
    <w:pPr>
      <w:keepNext/>
      <w:keepLines/>
      <w:spacing w:before="40" w:beforeAutospacing="0" w:after="0" w:afterAutospacing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2F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63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5">
    <w:name w:val="List Paragraph"/>
    <w:aliases w:val="Bullet List,FooterText,numbered,ТЗ список,Абзац списка литеральный,Булет1,1Булет,it_List1,ПАРАГРАФ,List Paragraph,List Paragraph1,Paragraphe de liste1,Bulletr List Paragraph,Подпись рисунка,Маркированный список_уровень1,lp1,Bullet List1"/>
    <w:basedOn w:val="a"/>
    <w:link w:val="a6"/>
    <w:uiPriority w:val="99"/>
    <w:qFormat/>
    <w:rsid w:val="00EE634B"/>
    <w:pPr>
      <w:spacing w:before="0" w:beforeAutospacing="0" w:after="0" w:afterAutospacing="0" w:line="259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ПАРАГРАФ Знак,List Paragraph Знак,List Paragraph1 Знак,Paragraphe de liste1 Знак,Подпись рисунка Знак"/>
    <w:link w:val="a5"/>
    <w:uiPriority w:val="99"/>
    <w:rsid w:val="00EE634B"/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uiPriority w:val="99"/>
    <w:rsid w:val="00EE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f=9D8161AA42813FF2C5CEF20345109A18045E915A4D486592BF0D91A3DD55F1698951AD87C989255BD5FBE190C6009D654393C4422B6702763792395C742FD79A89DB4C4BBB23d1R3M" TargetMode="External"/><Relationship Id="rId13" Type="http://schemas.openxmlformats.org/officeDocument/2006/relationships/hyperlink" Target="http://ivo.garant.ru/document/redirect/12180849/231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mo.consultant.ru/cgi/online.cgi?ref=9D8161AA42813FF2C5CEF20345109A18045E915A4D486592BF0D91A3DD55F1698951AD87C989255BD5FBE190C6009D654393C4422B6702763792395C742FD79D89D84C4BBB23d1R3M" TargetMode="External"/><Relationship Id="rId12" Type="http://schemas.openxmlformats.org/officeDocument/2006/relationships/hyperlink" Target="https://demo.consultant.ru/cgi/online.cgi?ref=9D8161AA42813FF2C5CEF20345109A18045E915A4D486592BF0D91A3DD55F1698951AD87C989255BD5FBEA9DCA039338499B9D4E29600D2920957050752ED0998ED71B46A9d2R4M" TargetMode="External"/><Relationship Id="rId17" Type="http://schemas.openxmlformats.org/officeDocument/2006/relationships/hyperlink" Target="http://ivo.garant.ru/document/redirect/7201395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2013950/10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mo.consultant.ru/cgi/online.cgi?ref=9D8161AA42813FF2C5CEF20345109A18045E915A4D486592BF0D91A3DD55F1698951AD87C989255BD5FBE190C6009D654393C4422B6702763792395C742FD49D88D94C4BBB23d1R3M" TargetMode="External"/><Relationship Id="rId11" Type="http://schemas.openxmlformats.org/officeDocument/2006/relationships/hyperlink" Target="https://demo.consultant.ru/cgi/online.cgi?ref=9D8161AA42813FF2C5CEF20345109A18045E915A4D486592BF0D91A3DD55F1698951AD87C989255BD5FBE190C6009D654393C4422B6702763792395C742FD49E8CDD4C4BBB23d1R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947648/1002" TargetMode="External"/><Relationship Id="rId10" Type="http://schemas.openxmlformats.org/officeDocument/2006/relationships/hyperlink" Target="https://demo.consultant.ru/cgi/online.cgi?ref=9D8161AA42813FF2C5CEF20345109A18045E915A4D486592BF0D91A3DD55F1698951AD87C989255BD5FBE190C6009D654393C4422B6702763792395C742FD49D88D94C4BBB23d1R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mo.consultant.ru/cgi/online.cgi?ref=9D8161AA42813FF2C5CEF20345109A18045E915A4D486592BF0D91A3DD55F1698951AD87C989255BD5FBE190C6009D654393C4422B6702763792395C742FD79689D44C4BBB23d1R3M" TargetMode="External"/><Relationship Id="rId14" Type="http://schemas.openxmlformats.org/officeDocument/2006/relationships/hyperlink" Target="http://ivo.garant.ru/document/redirect/71947650/1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ED34-BAF0-4D64-BC96-D38EE59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9728</Words>
  <Characters>55451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Главбух</cp:lastModifiedBy>
  <cp:revision>2</cp:revision>
  <cp:lastPrinted>2023-04-11T06:22:00Z</cp:lastPrinted>
  <dcterms:created xsi:type="dcterms:W3CDTF">2023-11-02T11:53:00Z</dcterms:created>
  <dcterms:modified xsi:type="dcterms:W3CDTF">2023-11-02T11:53:00Z</dcterms:modified>
</cp:coreProperties>
</file>